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A5994" w14:textId="77777777" w:rsidR="00A249E2" w:rsidRDefault="00A249E2" w:rsidP="00830F6B">
      <w:pPr>
        <w:pStyle w:val="NormalWeb"/>
      </w:pPr>
      <w:r>
        <w:rPr>
          <w:u w:val="single"/>
        </w:rPr>
        <w:t xml:space="preserve">Dr Carolyn Shapiro, Associate Professor of Visual Culture, Falmouth </w:t>
      </w:r>
      <w:r w:rsidRPr="00BA0E13">
        <w:rPr>
          <w:u w:val="single"/>
        </w:rPr>
        <w:t>University</w:t>
      </w:r>
    </w:p>
    <w:p w14:paraId="0CF7F1B0" w14:textId="183B71BD" w:rsidR="004F27E7" w:rsidRPr="00BA0E13" w:rsidRDefault="009263AB" w:rsidP="00BA0E13">
      <w:pPr>
        <w:pStyle w:val="Heading1"/>
        <w:rPr>
          <w:sz w:val="24"/>
          <w:szCs w:val="24"/>
        </w:rPr>
      </w:pPr>
      <w:r w:rsidRPr="00BA0E13">
        <w:rPr>
          <w:sz w:val="24"/>
          <w:szCs w:val="24"/>
        </w:rPr>
        <w:t xml:space="preserve">Title: </w:t>
      </w:r>
      <w:r w:rsidR="00F36242" w:rsidRPr="00BA0E13">
        <w:rPr>
          <w:sz w:val="24"/>
          <w:szCs w:val="24"/>
        </w:rPr>
        <w:t xml:space="preserve">Andrew Humphreys’ and Olivier Kugler’s </w:t>
      </w:r>
      <w:proofErr w:type="gramStart"/>
      <w:r w:rsidR="00F36242" w:rsidRPr="00BA0E13">
        <w:rPr>
          <w:i/>
          <w:iCs/>
          <w:sz w:val="24"/>
          <w:szCs w:val="24"/>
        </w:rPr>
        <w:t>The</w:t>
      </w:r>
      <w:proofErr w:type="gramEnd"/>
      <w:r w:rsidR="00F36242" w:rsidRPr="00BA0E13">
        <w:rPr>
          <w:i/>
          <w:iCs/>
          <w:sz w:val="24"/>
          <w:szCs w:val="24"/>
        </w:rPr>
        <w:t xml:space="preserve"> Great Fish &amp; Chips</w:t>
      </w:r>
      <w:r w:rsidR="00F36242" w:rsidRPr="00BA0E13">
        <w:rPr>
          <w:sz w:val="24"/>
          <w:szCs w:val="24"/>
        </w:rPr>
        <w:t xml:space="preserve">: </w:t>
      </w:r>
      <w:r w:rsidRPr="00BA0E13">
        <w:rPr>
          <w:sz w:val="24"/>
          <w:szCs w:val="24"/>
        </w:rPr>
        <w:t>Indexical Pathways in Illustration Research</w:t>
      </w:r>
    </w:p>
    <w:p w14:paraId="47F59700" w14:textId="148621E2" w:rsidR="002C515E" w:rsidRPr="002C515E" w:rsidRDefault="00F1623B" w:rsidP="00F1623B">
      <w:pPr>
        <w:pStyle w:val="NormalWeb"/>
      </w:pPr>
      <w:r w:rsidRPr="007E4E0E">
        <w:rPr>
          <w:u w:val="single"/>
        </w:rPr>
        <w:t>Abstract</w:t>
      </w:r>
      <w:r>
        <w:t xml:space="preserve">: </w:t>
      </w:r>
      <w:r w:rsidR="006E43D3">
        <w:t xml:space="preserve">The graphic reportage of Andrew Humphreys and Olivier Kugler, specifically, their project </w:t>
      </w:r>
      <w:r w:rsidR="006E43D3">
        <w:rPr>
          <w:i/>
          <w:iCs/>
        </w:rPr>
        <w:t>The Great British Fish &amp; Chips</w:t>
      </w:r>
      <w:r w:rsidR="006E43D3">
        <w:t xml:space="preserve">, is analysed here on three levels: first, in terms of their practices of graphic journalism; second, as a mechanism for </w:t>
      </w:r>
      <w:r w:rsidR="00966AAB">
        <w:t>navigating</w:t>
      </w:r>
      <w:r w:rsidR="006E43D3">
        <w:t xml:space="preserve">, through illustration and storytelling, difficult social and political currents about British national territory and sovereignty emergent </w:t>
      </w:r>
      <w:r w:rsidR="00733067">
        <w:t>in</w:t>
      </w:r>
      <w:r w:rsidR="006E43D3">
        <w:t xml:space="preserve"> Brexit; and third, </w:t>
      </w:r>
      <w:r w:rsidR="00D54664">
        <w:t xml:space="preserve">building upon critical theory already established in modern art history, </w:t>
      </w:r>
      <w:r w:rsidR="006E43D3">
        <w:t xml:space="preserve">as a matrix of the theoretical propositions offered by </w:t>
      </w:r>
      <w:r w:rsidR="00065D33">
        <w:t>19</w:t>
      </w:r>
      <w:r w:rsidR="00065D33" w:rsidRPr="00065D33">
        <w:rPr>
          <w:vertAlign w:val="superscript"/>
        </w:rPr>
        <w:t>th</w:t>
      </w:r>
      <w:r w:rsidR="00065D33">
        <w:t xml:space="preserve"> century philosopher Charles S. Peirce’s</w:t>
      </w:r>
      <w:r w:rsidR="006E43D3">
        <w:t xml:space="preserve"> semiotic </w:t>
      </w:r>
      <w:r w:rsidR="007B35C7">
        <w:t>category</w:t>
      </w:r>
      <w:r w:rsidR="006E43D3">
        <w:t xml:space="preserve"> of the </w:t>
      </w:r>
      <w:r w:rsidR="006E43D3" w:rsidRPr="006E43D3">
        <w:rPr>
          <w:i/>
          <w:iCs/>
        </w:rPr>
        <w:t>index</w:t>
      </w:r>
      <w:r w:rsidR="006E43D3">
        <w:t xml:space="preserve">. </w:t>
      </w:r>
      <w:r w:rsidR="00B40B15">
        <w:t xml:space="preserve">Using what I am proposing to be ‘indexical strategies’ within illustrative practice, Humphreys and Kugler bring forth the ironic tensions within certain constructions of ‘British’ identity. </w:t>
      </w:r>
      <w:r w:rsidR="0006697A">
        <w:t xml:space="preserve">Ultimately, I </w:t>
      </w:r>
      <w:r w:rsidR="007F6395">
        <w:t>want t</w:t>
      </w:r>
      <w:r w:rsidR="00B40B15">
        <w:t xml:space="preserve">o consider </w:t>
      </w:r>
      <w:r w:rsidR="0006697A">
        <w:rPr>
          <w:i/>
          <w:iCs/>
        </w:rPr>
        <w:t>The Great Fish &amp; Chips</w:t>
      </w:r>
      <w:r w:rsidR="0006697A">
        <w:t xml:space="preserve"> </w:t>
      </w:r>
      <w:r w:rsidR="00B40B15">
        <w:t xml:space="preserve">as </w:t>
      </w:r>
      <w:r w:rsidR="00E1548E">
        <w:t>an exploratory site for the larger proposition</w:t>
      </w:r>
      <w:r w:rsidR="007F6395">
        <w:t xml:space="preserve"> </w:t>
      </w:r>
      <w:r w:rsidR="0006697A">
        <w:t xml:space="preserve">that </w:t>
      </w:r>
      <w:r w:rsidR="002C515E" w:rsidRPr="002C515E">
        <w:t xml:space="preserve">indexical relation </w:t>
      </w:r>
      <w:r w:rsidR="00501994">
        <w:t>might</w:t>
      </w:r>
      <w:r w:rsidR="002C515E" w:rsidRPr="002C515E">
        <w:t xml:space="preserve"> be the primary mode of illustration itself.</w:t>
      </w:r>
    </w:p>
    <w:p w14:paraId="357F7A2D" w14:textId="2D6E9229" w:rsidR="005159D6" w:rsidRDefault="005159D6" w:rsidP="005159D6">
      <w:pPr>
        <w:pStyle w:val="NormalWeb"/>
      </w:pPr>
      <w:r>
        <w:rPr>
          <w:u w:val="single"/>
        </w:rPr>
        <w:t>Key words</w:t>
      </w:r>
      <w:r>
        <w:t>: graphic reportage; Brexit; referentiality; Index; Charles S. Peirce; trace; deixis; Shifter</w:t>
      </w:r>
    </w:p>
    <w:p w14:paraId="29B55E8B" w14:textId="3A66529B" w:rsidR="006E5860" w:rsidRDefault="00E42D4A" w:rsidP="006E5860">
      <w:pPr>
        <w:pStyle w:val="NormalWeb"/>
        <w:spacing w:before="0" w:beforeAutospacing="0" w:line="480" w:lineRule="auto"/>
        <w:ind w:firstLine="720"/>
        <w:rPr>
          <w:color w:val="000000" w:themeColor="text1"/>
        </w:rPr>
      </w:pPr>
      <w:r>
        <w:t xml:space="preserve">In their ongoing graphic reportage project </w:t>
      </w:r>
      <w:r>
        <w:rPr>
          <w:i/>
          <w:iCs/>
        </w:rPr>
        <w:t>The Great Fish &amp; Chips</w:t>
      </w:r>
      <w:r>
        <w:t>, journalist Andrew Humphreys and illustrator Olivier Kugler</w:t>
      </w:r>
      <w:r w:rsidR="00D476E5">
        <w:t xml:space="preserve"> </w:t>
      </w:r>
      <w:r>
        <w:t>navigate a journey beginning with the ‘national dish’ Fish and Chips, back through its line of production, meeting the diverse individuals who contribute to</w:t>
      </w:r>
      <w:r w:rsidR="000F45D2">
        <w:t xml:space="preserve"> its </w:t>
      </w:r>
      <w:r w:rsidR="001474B7">
        <w:t xml:space="preserve">British identity. </w:t>
      </w:r>
      <w:r w:rsidR="005D0334">
        <w:t xml:space="preserve">Humphreys’ and Kugler’s </w:t>
      </w:r>
      <w:r>
        <w:t xml:space="preserve">presentation of </w:t>
      </w:r>
      <w:r w:rsidR="00FE3ED5">
        <w:t>the</w:t>
      </w:r>
      <w:r>
        <w:t xml:space="preserve"> </w:t>
      </w:r>
      <w:r w:rsidR="001474B7">
        <w:t xml:space="preserve">people and places </w:t>
      </w:r>
      <w:r>
        <w:t xml:space="preserve">behind </w:t>
      </w:r>
      <w:r w:rsidR="00FE3ED5">
        <w:t>a plate of</w:t>
      </w:r>
      <w:r>
        <w:t xml:space="preserve"> </w:t>
      </w:r>
      <w:r w:rsidR="00FE3ED5">
        <w:t>f</w:t>
      </w:r>
      <w:r>
        <w:t xml:space="preserve">ish and </w:t>
      </w:r>
      <w:r w:rsidR="00FE3ED5">
        <w:t>c</w:t>
      </w:r>
      <w:r>
        <w:t xml:space="preserve">hips </w:t>
      </w:r>
      <w:r w:rsidR="001474B7">
        <w:t>presents a</w:t>
      </w:r>
      <w:r>
        <w:t xml:space="preserve"> ‘British</w:t>
      </w:r>
      <w:r w:rsidR="001474B7">
        <w:t>ness</w:t>
      </w:r>
      <w:r>
        <w:t xml:space="preserve">’ </w:t>
      </w:r>
      <w:r w:rsidR="001474B7">
        <w:t>that tugs against populist notions claimed by</w:t>
      </w:r>
      <w:r w:rsidR="005D0334">
        <w:t xml:space="preserve"> the </w:t>
      </w:r>
      <w:r w:rsidR="001474B7">
        <w:t xml:space="preserve">forces </w:t>
      </w:r>
      <w:r w:rsidR="005D0334">
        <w:t>of</w:t>
      </w:r>
      <w:r w:rsidR="001474B7">
        <w:t xml:space="preserve"> Brexit. </w:t>
      </w:r>
      <w:r w:rsidR="007805CB">
        <w:t>Launching their project from the instability felt by British people on both sides of the Brexit debate, Humphreys’ and Kugler’s graphic reportage runs parallel to historian Timothy Brennan’s deconstruction of ‘the national longing for form’.</w:t>
      </w:r>
      <w:r w:rsidR="007805CB">
        <w:rPr>
          <w:rStyle w:val="EndnoteReference"/>
        </w:rPr>
        <w:endnoteReference w:id="1"/>
      </w:r>
      <w:r w:rsidR="007805CB">
        <w:t xml:space="preserve">  I propose that</w:t>
      </w:r>
      <w:r w:rsidR="0054368B">
        <w:t xml:space="preserve"> the</w:t>
      </w:r>
      <w:r w:rsidR="007805CB">
        <w:t xml:space="preserve"> </w:t>
      </w:r>
      <w:r w:rsidR="002B19C1">
        <w:rPr>
          <w:i/>
          <w:iCs/>
        </w:rPr>
        <w:t>i</w:t>
      </w:r>
      <w:r w:rsidRPr="00C82F3C">
        <w:rPr>
          <w:i/>
          <w:iCs/>
        </w:rPr>
        <w:t>ndexical strategies</w:t>
      </w:r>
      <w:r>
        <w:t xml:space="preserve"> </w:t>
      </w:r>
      <w:r w:rsidR="0054368B">
        <w:t>of</w:t>
      </w:r>
      <w:r>
        <w:t xml:space="preserve"> </w:t>
      </w:r>
      <w:r w:rsidR="00C82F3C">
        <w:t>Humphrey</w:t>
      </w:r>
      <w:r w:rsidR="00B1538A">
        <w:t>s’</w:t>
      </w:r>
      <w:r w:rsidR="00C82F3C">
        <w:t xml:space="preserve"> and Kugler’s </w:t>
      </w:r>
      <w:r>
        <w:t>illustrative practice</w:t>
      </w:r>
      <w:r w:rsidR="00C82F3C">
        <w:t xml:space="preserve"> </w:t>
      </w:r>
      <w:r w:rsidR="007805CB">
        <w:t>allow them to</w:t>
      </w:r>
      <w:r>
        <w:t xml:space="preserve"> bring forth ironic tension</w:t>
      </w:r>
      <w:r w:rsidR="008074AE">
        <w:t>s</w:t>
      </w:r>
      <w:r>
        <w:t xml:space="preserve"> within the </w:t>
      </w:r>
      <w:r w:rsidR="00C82F3C">
        <w:t>construction</w:t>
      </w:r>
      <w:r>
        <w:t xml:space="preserve"> of Fish and Chips</w:t>
      </w:r>
      <w:r w:rsidR="001311FD">
        <w:t xml:space="preserve"> as national dish</w:t>
      </w:r>
      <w:r w:rsidR="00C82F3C">
        <w:t xml:space="preserve">. </w:t>
      </w:r>
      <w:r w:rsidR="00F4722A">
        <w:rPr>
          <w:color w:val="000000" w:themeColor="text1"/>
        </w:rPr>
        <w:t xml:space="preserve">Exploring </w:t>
      </w:r>
      <w:r w:rsidR="00862C73">
        <w:rPr>
          <w:color w:val="000000" w:themeColor="text1"/>
        </w:rPr>
        <w:t>what</w:t>
      </w:r>
      <w:r w:rsidR="009934A2">
        <w:rPr>
          <w:color w:val="000000" w:themeColor="text1"/>
        </w:rPr>
        <w:t xml:space="preserve"> theorist</w:t>
      </w:r>
      <w:r w:rsidR="00862C73">
        <w:rPr>
          <w:color w:val="000000" w:themeColor="text1"/>
        </w:rPr>
        <w:t xml:space="preserve"> Mary Ann Doane has characterized as </w:t>
      </w:r>
      <w:r w:rsidR="00862C73" w:rsidRPr="008326CC">
        <w:rPr>
          <w:color w:val="000000" w:themeColor="text1"/>
        </w:rPr>
        <w:t>‘the vexed issue of referentiality in representation</w:t>
      </w:r>
      <w:r w:rsidR="00F4722A">
        <w:rPr>
          <w:color w:val="000000" w:themeColor="text1"/>
        </w:rPr>
        <w:t>,</w:t>
      </w:r>
      <w:r w:rsidR="00862C73" w:rsidRPr="008326CC">
        <w:rPr>
          <w:color w:val="000000" w:themeColor="text1"/>
        </w:rPr>
        <w:t>’</w:t>
      </w:r>
      <w:r w:rsidR="00862C73" w:rsidRPr="008326CC">
        <w:rPr>
          <w:rStyle w:val="EndnoteReference"/>
          <w:color w:val="000000" w:themeColor="text1"/>
        </w:rPr>
        <w:endnoteReference w:id="2"/>
      </w:r>
      <w:r w:rsidR="00862C73" w:rsidRPr="008326CC">
        <w:rPr>
          <w:color w:val="000000" w:themeColor="text1"/>
        </w:rPr>
        <w:t xml:space="preserve"> </w:t>
      </w:r>
      <w:r w:rsidR="00E61F95">
        <w:rPr>
          <w:color w:val="000000" w:themeColor="text1"/>
        </w:rPr>
        <w:t xml:space="preserve"> </w:t>
      </w:r>
      <w:r w:rsidR="00550350">
        <w:rPr>
          <w:color w:val="000000" w:themeColor="text1"/>
        </w:rPr>
        <w:t>my</w:t>
      </w:r>
      <w:r w:rsidR="00493793">
        <w:rPr>
          <w:color w:val="000000" w:themeColor="text1"/>
        </w:rPr>
        <w:t xml:space="preserve"> </w:t>
      </w:r>
      <w:r w:rsidR="00962EA8" w:rsidRPr="00AF6935">
        <w:rPr>
          <w:color w:val="000000" w:themeColor="text1"/>
        </w:rPr>
        <w:t xml:space="preserve">essay builds upon the art historical engagement with </w:t>
      </w:r>
      <w:r w:rsidR="00F4722A" w:rsidRPr="00AF6935">
        <w:rPr>
          <w:color w:val="000000" w:themeColor="text1"/>
        </w:rPr>
        <w:t>Charles S. Peirce</w:t>
      </w:r>
      <w:r w:rsidR="00F4722A">
        <w:rPr>
          <w:color w:val="000000" w:themeColor="text1"/>
        </w:rPr>
        <w:t xml:space="preserve">’s semiotic category of the </w:t>
      </w:r>
      <w:r w:rsidR="00962EA8" w:rsidRPr="00AF6935">
        <w:rPr>
          <w:color w:val="000000" w:themeColor="text1"/>
        </w:rPr>
        <w:t xml:space="preserve">Index, </w:t>
      </w:r>
      <w:r w:rsidR="00540C91" w:rsidRPr="00AF6935">
        <w:rPr>
          <w:color w:val="000000" w:themeColor="text1"/>
        </w:rPr>
        <w:t>outlin</w:t>
      </w:r>
      <w:r w:rsidR="00962EA8" w:rsidRPr="00AF6935">
        <w:rPr>
          <w:color w:val="000000" w:themeColor="text1"/>
        </w:rPr>
        <w:t>ing</w:t>
      </w:r>
      <w:r w:rsidR="00540C91" w:rsidRPr="00AF6935">
        <w:rPr>
          <w:color w:val="000000" w:themeColor="text1"/>
        </w:rPr>
        <w:t xml:space="preserve"> </w:t>
      </w:r>
      <w:r w:rsidR="00962EA8" w:rsidRPr="00AF6935">
        <w:rPr>
          <w:color w:val="000000" w:themeColor="text1"/>
        </w:rPr>
        <w:t xml:space="preserve">the components </w:t>
      </w:r>
      <w:r w:rsidR="00540C91" w:rsidRPr="00AF6935">
        <w:rPr>
          <w:color w:val="000000" w:themeColor="text1"/>
        </w:rPr>
        <w:t xml:space="preserve">of </w:t>
      </w:r>
      <w:r w:rsidR="00962EA8" w:rsidRPr="00AF6935">
        <w:rPr>
          <w:color w:val="000000" w:themeColor="text1"/>
        </w:rPr>
        <w:t>indexicality</w:t>
      </w:r>
      <w:r w:rsidR="00540C91" w:rsidRPr="00AF6935">
        <w:rPr>
          <w:color w:val="000000" w:themeColor="text1"/>
        </w:rPr>
        <w:t xml:space="preserve"> to situate illustration within a larger art historical and philosophical enquiry</w:t>
      </w:r>
      <w:r w:rsidR="00D13622">
        <w:rPr>
          <w:color w:val="000000" w:themeColor="text1"/>
        </w:rPr>
        <w:t xml:space="preserve"> while</w:t>
      </w:r>
      <w:r w:rsidR="00540C91" w:rsidRPr="00AF6935">
        <w:rPr>
          <w:color w:val="000000" w:themeColor="text1"/>
        </w:rPr>
        <w:t xml:space="preserve"> </w:t>
      </w:r>
      <w:r w:rsidR="00540C91" w:rsidRPr="00AF6935">
        <w:rPr>
          <w:color w:val="000000" w:themeColor="text1"/>
        </w:rPr>
        <w:lastRenderedPageBreak/>
        <w:t>investigat</w:t>
      </w:r>
      <w:r w:rsidR="007805CB" w:rsidRPr="00AF6935">
        <w:rPr>
          <w:color w:val="000000" w:themeColor="text1"/>
        </w:rPr>
        <w:t>ing</w:t>
      </w:r>
      <w:r w:rsidR="00540C91" w:rsidRPr="00AF6935">
        <w:rPr>
          <w:color w:val="000000" w:themeColor="text1"/>
        </w:rPr>
        <w:t xml:space="preserve"> the affordances</w:t>
      </w:r>
      <w:r w:rsidR="00FB2241">
        <w:rPr>
          <w:color w:val="000000" w:themeColor="text1"/>
        </w:rPr>
        <w:t xml:space="preserve"> of indexicality</w:t>
      </w:r>
      <w:r w:rsidR="00540C91" w:rsidRPr="00AF6935">
        <w:rPr>
          <w:color w:val="000000" w:themeColor="text1"/>
        </w:rPr>
        <w:t xml:space="preserve"> particular to illustration. More than any other mode of communication, illustration is fundamentally </w:t>
      </w:r>
      <w:r w:rsidR="00540C91" w:rsidRPr="00AF6935">
        <w:rPr>
          <w:i/>
          <w:iCs/>
          <w:color w:val="000000" w:themeColor="text1"/>
        </w:rPr>
        <w:t>indexical</w:t>
      </w:r>
      <w:r w:rsidR="00540C91" w:rsidRPr="00AF6935">
        <w:rPr>
          <w:color w:val="000000" w:themeColor="text1"/>
        </w:rPr>
        <w:t xml:space="preserve">, in all its semiotic </w:t>
      </w:r>
      <w:r w:rsidR="00730757" w:rsidRPr="00AF6935">
        <w:rPr>
          <w:color w:val="000000" w:themeColor="text1"/>
        </w:rPr>
        <w:t>force</w:t>
      </w:r>
      <w:r w:rsidR="00540C91" w:rsidRPr="00AF6935">
        <w:rPr>
          <w:color w:val="000000" w:themeColor="text1"/>
        </w:rPr>
        <w:t>s</w:t>
      </w:r>
      <w:r w:rsidR="00962EA8" w:rsidRPr="00AF6935">
        <w:rPr>
          <w:color w:val="000000" w:themeColor="text1"/>
        </w:rPr>
        <w:t xml:space="preserve">.  </w:t>
      </w:r>
    </w:p>
    <w:p w14:paraId="5A03B1DD" w14:textId="030674A4" w:rsidR="003D37B7" w:rsidRPr="00C6622B" w:rsidRDefault="003D37B7" w:rsidP="006E5860">
      <w:pPr>
        <w:pStyle w:val="NormalWeb"/>
        <w:spacing w:before="0" w:beforeAutospacing="0" w:line="480" w:lineRule="auto"/>
        <w:rPr>
          <w:u w:val="single"/>
        </w:rPr>
      </w:pPr>
      <w:r>
        <w:rPr>
          <w:u w:val="single"/>
        </w:rPr>
        <w:t xml:space="preserve">Andrew Humphreys’ and Olivier Kugler’s </w:t>
      </w:r>
      <w:proofErr w:type="gramStart"/>
      <w:r>
        <w:rPr>
          <w:i/>
          <w:iCs/>
          <w:u w:val="single"/>
        </w:rPr>
        <w:t>The</w:t>
      </w:r>
      <w:proofErr w:type="gramEnd"/>
      <w:r>
        <w:rPr>
          <w:i/>
          <w:iCs/>
          <w:u w:val="single"/>
        </w:rPr>
        <w:t xml:space="preserve"> Great Fish &amp; Chips</w:t>
      </w:r>
      <w:r>
        <w:rPr>
          <w:u w:val="single"/>
        </w:rPr>
        <w:t xml:space="preserve"> </w:t>
      </w:r>
    </w:p>
    <w:p w14:paraId="239614EA" w14:textId="039F47F2" w:rsidR="001637E7" w:rsidRDefault="003D37B7" w:rsidP="0094504F">
      <w:pPr>
        <w:pStyle w:val="NormalWeb"/>
        <w:spacing w:line="480" w:lineRule="auto"/>
        <w:ind w:firstLine="720"/>
      </w:pPr>
      <w:r>
        <w:rPr>
          <w:color w:val="000000" w:themeColor="text1"/>
        </w:rPr>
        <w:t>I</w:t>
      </w:r>
      <w:r w:rsidR="00B03451" w:rsidRPr="009244A2">
        <w:rPr>
          <w:color w:val="000000" w:themeColor="text1"/>
        </w:rPr>
        <w:t>n the contemporary context</w:t>
      </w:r>
      <w:r>
        <w:rPr>
          <w:color w:val="000000" w:themeColor="text1"/>
        </w:rPr>
        <w:t>s</w:t>
      </w:r>
      <w:r w:rsidR="00B03451" w:rsidRPr="009244A2">
        <w:rPr>
          <w:color w:val="000000" w:themeColor="text1"/>
        </w:rPr>
        <w:t xml:space="preserve"> of Brexit, signs of ‘nation’ circulate, accumulate, and break down in the dissemination of the myths of Britishness.  Through their graphic reportage practices, Humphreys and Kugler are negotiating anxieties about referentiality</w:t>
      </w:r>
      <w:r w:rsidR="00891B57">
        <w:rPr>
          <w:color w:val="000000" w:themeColor="text1"/>
        </w:rPr>
        <w:t xml:space="preserve">. </w:t>
      </w:r>
      <w:r w:rsidR="00E42D4A" w:rsidRPr="009244A2">
        <w:rPr>
          <w:color w:val="000000" w:themeColor="text1"/>
        </w:rPr>
        <w:t xml:space="preserve">The questions motivating Humphreys’ </w:t>
      </w:r>
      <w:r w:rsidR="00541112">
        <w:rPr>
          <w:color w:val="000000" w:themeColor="text1"/>
        </w:rPr>
        <w:t xml:space="preserve">and Kugler’s </w:t>
      </w:r>
      <w:r w:rsidR="00294C25">
        <w:rPr>
          <w:color w:val="000000" w:themeColor="text1"/>
        </w:rPr>
        <w:t xml:space="preserve">proposed book, </w:t>
      </w:r>
      <w:r w:rsidR="00294C25">
        <w:rPr>
          <w:i/>
          <w:iCs/>
          <w:color w:val="000000" w:themeColor="text1"/>
        </w:rPr>
        <w:t xml:space="preserve">The Great Fish </w:t>
      </w:r>
      <w:r w:rsidR="00294C25" w:rsidRPr="00294C25">
        <w:rPr>
          <w:i/>
          <w:iCs/>
          <w:color w:val="000000" w:themeColor="text1"/>
        </w:rPr>
        <w:t>&amp; Chips</w:t>
      </w:r>
      <w:r w:rsidR="00294C25">
        <w:rPr>
          <w:color w:val="000000" w:themeColor="text1"/>
        </w:rPr>
        <w:t xml:space="preserve">, </w:t>
      </w:r>
      <w:r w:rsidR="00E42D4A" w:rsidRPr="009244A2">
        <w:rPr>
          <w:color w:val="000000" w:themeColor="text1"/>
        </w:rPr>
        <w:t>are, who and what is ‘British’? And, even more specifically, how does the construction of ‘the British nation’ both mask and reveal the heterogeneity of British nationality</w:t>
      </w:r>
      <w:r w:rsidR="009244A2" w:rsidRPr="009244A2">
        <w:rPr>
          <w:color w:val="000000" w:themeColor="text1"/>
        </w:rPr>
        <w:t>?</w:t>
      </w:r>
      <w:r w:rsidR="00E42D4A" w:rsidRPr="009244A2">
        <w:rPr>
          <w:color w:val="000000" w:themeColor="text1"/>
        </w:rPr>
        <w:t xml:space="preserve"> </w:t>
      </w:r>
      <w:r w:rsidR="00294C25">
        <w:rPr>
          <w:color w:val="000000" w:themeColor="text1"/>
        </w:rPr>
        <w:t>The</w:t>
      </w:r>
      <w:r w:rsidR="002A64C4">
        <w:rPr>
          <w:color w:val="000000" w:themeColor="text1"/>
        </w:rPr>
        <w:t>ir</w:t>
      </w:r>
      <w:r w:rsidR="00294C25">
        <w:rPr>
          <w:color w:val="000000" w:themeColor="text1"/>
        </w:rPr>
        <w:t xml:space="preserve"> project began with a deconstruction: the national dish of Britain </w:t>
      </w:r>
      <w:r w:rsidR="001E7733">
        <w:rPr>
          <w:color w:val="000000" w:themeColor="text1"/>
        </w:rPr>
        <w:t>i</w:t>
      </w:r>
      <w:r w:rsidR="00294C25">
        <w:rPr>
          <w:color w:val="000000" w:themeColor="text1"/>
        </w:rPr>
        <w:t xml:space="preserve">s not native, but in fact brought to Britain </w:t>
      </w:r>
      <w:r w:rsidR="00F51F30">
        <w:rPr>
          <w:color w:val="000000" w:themeColor="text1"/>
        </w:rPr>
        <w:t>in the mid</w:t>
      </w:r>
      <w:r w:rsidR="00A40161">
        <w:rPr>
          <w:color w:val="000000" w:themeColor="text1"/>
        </w:rPr>
        <w:t>-</w:t>
      </w:r>
      <w:r w:rsidR="00F51F30">
        <w:rPr>
          <w:color w:val="000000" w:themeColor="text1"/>
        </w:rPr>
        <w:t>19</w:t>
      </w:r>
      <w:r w:rsidR="00F51F30" w:rsidRPr="00F51F30">
        <w:rPr>
          <w:color w:val="000000" w:themeColor="text1"/>
          <w:vertAlign w:val="superscript"/>
        </w:rPr>
        <w:t>th</w:t>
      </w:r>
      <w:r w:rsidR="00F51F30">
        <w:rPr>
          <w:color w:val="000000" w:themeColor="text1"/>
        </w:rPr>
        <w:t xml:space="preserve"> century </w:t>
      </w:r>
      <w:r w:rsidR="00294C25">
        <w:rPr>
          <w:color w:val="000000" w:themeColor="text1"/>
        </w:rPr>
        <w:t>by immigrant</w:t>
      </w:r>
      <w:r w:rsidR="00F51F30">
        <w:rPr>
          <w:color w:val="000000" w:themeColor="text1"/>
        </w:rPr>
        <w:t xml:space="preserve"> c</w:t>
      </w:r>
      <w:r w:rsidR="00294C25" w:rsidRPr="00294C25">
        <w:t xml:space="preserve">ommunities of Jews, French and Belgians. </w:t>
      </w:r>
      <w:r w:rsidR="00BB525E">
        <w:t>Furthermore, a</w:t>
      </w:r>
      <w:r w:rsidR="00BB525E" w:rsidRPr="00BB525E">
        <w:t>pprox</w:t>
      </w:r>
      <w:r w:rsidR="00BB525E">
        <w:t>imately</w:t>
      </w:r>
      <w:r w:rsidR="00BB525E" w:rsidRPr="00BB525E">
        <w:t xml:space="preserve"> 80% of the fish served in UK chippies</w:t>
      </w:r>
      <w:r w:rsidR="004A41D7">
        <w:t xml:space="preserve"> today</w:t>
      </w:r>
      <w:r w:rsidR="00BB525E" w:rsidRPr="00BB525E">
        <w:t xml:space="preserve"> is imported</w:t>
      </w:r>
      <w:r w:rsidR="00BB525E">
        <w:t>, with a</w:t>
      </w:r>
      <w:r w:rsidR="00BB525E" w:rsidRPr="00BB525E">
        <w:t>pprox</w:t>
      </w:r>
      <w:r w:rsidR="00BB525E">
        <w:t xml:space="preserve">imately </w:t>
      </w:r>
      <w:r w:rsidR="00BB525E" w:rsidRPr="00BB525E">
        <w:t>80% of the fish caught by British boats exported.</w:t>
      </w:r>
      <w:r w:rsidR="00BB525E">
        <w:rPr>
          <w:rStyle w:val="EndnoteReference"/>
        </w:rPr>
        <w:endnoteReference w:id="3"/>
      </w:r>
      <w:r w:rsidR="006F5DE7">
        <w:t xml:space="preserve">  </w:t>
      </w:r>
      <w:r w:rsidR="007E0A08">
        <w:rPr>
          <w:color w:val="000000" w:themeColor="text1"/>
        </w:rPr>
        <w:t>Fish and Chips is approached as an investigative platform</w:t>
      </w:r>
      <w:r w:rsidR="004A41D7">
        <w:rPr>
          <w:color w:val="000000" w:themeColor="text1"/>
        </w:rPr>
        <w:t xml:space="preserve"> </w:t>
      </w:r>
      <w:r w:rsidR="0075045F">
        <w:rPr>
          <w:color w:val="000000" w:themeColor="text1"/>
        </w:rPr>
        <w:t>that negotiates</w:t>
      </w:r>
      <w:r w:rsidR="004A41D7">
        <w:rPr>
          <w:color w:val="000000" w:themeColor="text1"/>
        </w:rPr>
        <w:t xml:space="preserve"> these inconsistencies</w:t>
      </w:r>
      <w:r w:rsidR="007E0A08">
        <w:rPr>
          <w:color w:val="000000" w:themeColor="text1"/>
        </w:rPr>
        <w:t>.</w:t>
      </w:r>
      <w:r w:rsidR="00B432BC">
        <w:rPr>
          <w:color w:val="000000" w:themeColor="text1"/>
        </w:rPr>
        <w:t xml:space="preserve">  Reliant upon the availability of fundi</w:t>
      </w:r>
      <w:r w:rsidR="00C647B8">
        <w:rPr>
          <w:color w:val="000000" w:themeColor="text1"/>
        </w:rPr>
        <w:t>ng</w:t>
      </w:r>
      <w:r w:rsidR="00B432BC">
        <w:rPr>
          <w:color w:val="000000" w:themeColor="text1"/>
        </w:rPr>
        <w:t xml:space="preserve">, </w:t>
      </w:r>
      <w:r w:rsidR="00036009">
        <w:rPr>
          <w:color w:val="000000" w:themeColor="text1"/>
        </w:rPr>
        <w:t>Humphreys and Kugler</w:t>
      </w:r>
      <w:r w:rsidR="00B432BC">
        <w:rPr>
          <w:color w:val="000000" w:themeColor="text1"/>
        </w:rPr>
        <w:t xml:space="preserve"> travel from the ports of Scotland, down to the most southern points of England, and to fishing communities in between such as Grimsby, visiting chippies across Britain, looking for interesting subjects to interview. </w:t>
      </w:r>
      <w:r w:rsidR="00233CC9">
        <w:rPr>
          <w:color w:val="000000" w:themeColor="text1"/>
        </w:rPr>
        <w:t xml:space="preserve">As they’ve proposed </w:t>
      </w:r>
      <w:r w:rsidR="00176E47">
        <w:rPr>
          <w:color w:val="000000" w:themeColor="text1"/>
        </w:rPr>
        <w:t xml:space="preserve">for </w:t>
      </w:r>
      <w:r w:rsidR="00233CC9">
        <w:rPr>
          <w:color w:val="000000" w:themeColor="text1"/>
        </w:rPr>
        <w:t>their book, t</w:t>
      </w:r>
      <w:r w:rsidR="00C35E40">
        <w:rPr>
          <w:color w:val="000000" w:themeColor="text1"/>
        </w:rPr>
        <w:t xml:space="preserve">heir research could, in theory, take them to the </w:t>
      </w:r>
      <w:r w:rsidR="00C35E40" w:rsidRPr="00DD2A10">
        <w:t xml:space="preserve">Faroe Islands, Iceland, Norway, France, Italy and possibly even China and the United States to investigate </w:t>
      </w:r>
      <w:r w:rsidR="00DD2A10" w:rsidRPr="00DD2A10">
        <w:t xml:space="preserve">the full network </w:t>
      </w:r>
      <w:r w:rsidR="004C59B8">
        <w:t>that is</w:t>
      </w:r>
      <w:r w:rsidR="0035307A">
        <w:t xml:space="preserve"> </w:t>
      </w:r>
      <w:r w:rsidR="00DD2A10" w:rsidRPr="00DD2A10">
        <w:t xml:space="preserve">British </w:t>
      </w:r>
      <w:r w:rsidR="00536A88">
        <w:t>fish and c</w:t>
      </w:r>
      <w:r w:rsidR="00C35E40" w:rsidRPr="00DD2A10">
        <w:t>hip</w:t>
      </w:r>
      <w:r w:rsidR="00DD2A10" w:rsidRPr="00DD2A10">
        <w:t>s</w:t>
      </w:r>
      <w:r w:rsidR="00C35E40" w:rsidRPr="00DD2A10">
        <w:t xml:space="preserve">. </w:t>
      </w:r>
      <w:r w:rsidR="001637E7">
        <w:tab/>
      </w:r>
    </w:p>
    <w:p w14:paraId="745AF318" w14:textId="38589E22" w:rsidR="00F02A61" w:rsidRPr="001917A3" w:rsidRDefault="00B432BC" w:rsidP="001917A3">
      <w:pPr>
        <w:pStyle w:val="NormalWeb"/>
        <w:spacing w:line="480" w:lineRule="auto"/>
        <w:ind w:firstLine="720"/>
        <w:rPr>
          <w:color w:val="000000" w:themeColor="text1"/>
        </w:rPr>
      </w:pPr>
      <w:r>
        <w:rPr>
          <w:color w:val="000000" w:themeColor="text1"/>
        </w:rPr>
        <w:t>Much</w:t>
      </w:r>
      <w:r w:rsidR="001637E7">
        <w:rPr>
          <w:color w:val="000000" w:themeColor="text1"/>
        </w:rPr>
        <w:t xml:space="preserve"> of their research</w:t>
      </w:r>
      <w:r>
        <w:rPr>
          <w:color w:val="000000" w:themeColor="text1"/>
        </w:rPr>
        <w:t xml:space="preserve"> time is spent on location, interviewing </w:t>
      </w:r>
      <w:r w:rsidR="00536A88">
        <w:rPr>
          <w:color w:val="000000" w:themeColor="text1"/>
        </w:rPr>
        <w:t>owners of</w:t>
      </w:r>
      <w:r>
        <w:rPr>
          <w:color w:val="000000" w:themeColor="text1"/>
        </w:rPr>
        <w:t xml:space="preserve"> Fish and Chips shops</w:t>
      </w:r>
      <w:r w:rsidR="00B1051A">
        <w:rPr>
          <w:color w:val="000000" w:themeColor="text1"/>
        </w:rPr>
        <w:t>;</w:t>
      </w:r>
      <w:r>
        <w:rPr>
          <w:color w:val="000000" w:themeColor="text1"/>
        </w:rPr>
        <w:t xml:space="preserve"> customers</w:t>
      </w:r>
      <w:r w:rsidR="00B1051A">
        <w:rPr>
          <w:color w:val="000000" w:themeColor="text1"/>
        </w:rPr>
        <w:t>;</w:t>
      </w:r>
      <w:r>
        <w:rPr>
          <w:color w:val="000000" w:themeColor="text1"/>
        </w:rPr>
        <w:t xml:space="preserve"> </w:t>
      </w:r>
      <w:r w:rsidR="001714DE">
        <w:rPr>
          <w:color w:val="000000" w:themeColor="text1"/>
        </w:rPr>
        <w:t>auctioneers</w:t>
      </w:r>
      <w:r w:rsidR="00B1051A">
        <w:rPr>
          <w:color w:val="000000" w:themeColor="text1"/>
        </w:rPr>
        <w:t>;</w:t>
      </w:r>
      <w:r w:rsidR="001714DE">
        <w:rPr>
          <w:color w:val="000000" w:themeColor="text1"/>
        </w:rPr>
        <w:t xml:space="preserve"> truck drivers</w:t>
      </w:r>
      <w:r w:rsidR="00B1051A">
        <w:rPr>
          <w:color w:val="000000" w:themeColor="text1"/>
        </w:rPr>
        <w:t>;</w:t>
      </w:r>
      <w:r w:rsidR="001714DE">
        <w:rPr>
          <w:color w:val="000000" w:themeColor="text1"/>
        </w:rPr>
        <w:t xml:space="preserve"> </w:t>
      </w:r>
      <w:r>
        <w:rPr>
          <w:color w:val="000000" w:themeColor="text1"/>
        </w:rPr>
        <w:t xml:space="preserve">fishermen, and </w:t>
      </w:r>
      <w:r w:rsidR="00442A6B">
        <w:rPr>
          <w:color w:val="000000" w:themeColor="text1"/>
        </w:rPr>
        <w:t xml:space="preserve">any </w:t>
      </w:r>
      <w:r>
        <w:rPr>
          <w:color w:val="000000" w:themeColor="text1"/>
        </w:rPr>
        <w:t xml:space="preserve">others </w:t>
      </w:r>
      <w:r w:rsidR="00BA7612">
        <w:rPr>
          <w:color w:val="000000" w:themeColor="text1"/>
        </w:rPr>
        <w:t>behind</w:t>
      </w:r>
      <w:r>
        <w:rPr>
          <w:color w:val="000000" w:themeColor="text1"/>
        </w:rPr>
        <w:t xml:space="preserve"> </w:t>
      </w:r>
      <w:r w:rsidR="005E5500">
        <w:rPr>
          <w:color w:val="000000" w:themeColor="text1"/>
        </w:rPr>
        <w:t xml:space="preserve">a </w:t>
      </w:r>
      <w:r>
        <w:rPr>
          <w:color w:val="000000" w:themeColor="text1"/>
        </w:rPr>
        <w:t>plate of fish and chips. While Andrew interviews, Olivier (Oli) takes photographs. Afterwards, Andrew transcribes the interviews</w:t>
      </w:r>
      <w:r w:rsidR="00997BF2">
        <w:rPr>
          <w:color w:val="000000" w:themeColor="text1"/>
        </w:rPr>
        <w:t xml:space="preserve"> and</w:t>
      </w:r>
      <w:r>
        <w:rPr>
          <w:color w:val="000000" w:themeColor="text1"/>
        </w:rPr>
        <w:t xml:space="preserve"> maps out story arcs, while Oli makes rough sketches </w:t>
      </w:r>
      <w:r>
        <w:rPr>
          <w:color w:val="000000" w:themeColor="text1"/>
        </w:rPr>
        <w:lastRenderedPageBreak/>
        <w:t xml:space="preserve">from his photographs. They then match the words to the images. The images </w:t>
      </w:r>
      <w:r w:rsidR="00E20CD1">
        <w:rPr>
          <w:color w:val="000000" w:themeColor="text1"/>
        </w:rPr>
        <w:t xml:space="preserve">are laid out </w:t>
      </w:r>
      <w:r w:rsidR="00AC4AB7">
        <w:rPr>
          <w:color w:val="000000" w:themeColor="text1"/>
        </w:rPr>
        <w:t xml:space="preserve">on the page </w:t>
      </w:r>
      <w:r w:rsidR="00FD7D2C">
        <w:rPr>
          <w:color w:val="000000" w:themeColor="text1"/>
        </w:rPr>
        <w:t>with</w:t>
      </w:r>
      <w:r w:rsidR="00E20CD1">
        <w:rPr>
          <w:color w:val="000000" w:themeColor="text1"/>
        </w:rPr>
        <w:t xml:space="preserve"> narrative texts </w:t>
      </w:r>
      <w:r w:rsidR="008D72B7">
        <w:rPr>
          <w:color w:val="000000" w:themeColor="text1"/>
        </w:rPr>
        <w:t>positioned</w:t>
      </w:r>
      <w:r w:rsidR="005E5E2A">
        <w:rPr>
          <w:color w:val="000000" w:themeColor="text1"/>
        </w:rPr>
        <w:t xml:space="preserve"> above</w:t>
      </w:r>
      <w:r w:rsidR="00E20CD1">
        <w:rPr>
          <w:color w:val="000000" w:themeColor="text1"/>
        </w:rPr>
        <w:t xml:space="preserve"> the </w:t>
      </w:r>
      <w:r w:rsidR="000B5470">
        <w:rPr>
          <w:color w:val="000000" w:themeColor="text1"/>
        </w:rPr>
        <w:t xml:space="preserve">internal </w:t>
      </w:r>
      <w:r w:rsidR="0029442A">
        <w:rPr>
          <w:color w:val="000000" w:themeColor="text1"/>
        </w:rPr>
        <w:t>story</w:t>
      </w:r>
      <w:r w:rsidR="007C5D5A">
        <w:rPr>
          <w:color w:val="000000" w:themeColor="text1"/>
        </w:rPr>
        <w:t xml:space="preserve"> world</w:t>
      </w:r>
      <w:r w:rsidR="00DE705F">
        <w:rPr>
          <w:color w:val="000000" w:themeColor="text1"/>
        </w:rPr>
        <w:t>.  S</w:t>
      </w:r>
      <w:r w:rsidR="00E20CD1">
        <w:rPr>
          <w:color w:val="000000" w:themeColor="text1"/>
        </w:rPr>
        <w:t xml:space="preserve">peech bubbles are </w:t>
      </w:r>
      <w:r w:rsidR="008324B6">
        <w:rPr>
          <w:color w:val="000000" w:themeColor="text1"/>
        </w:rPr>
        <w:t>included</w:t>
      </w:r>
      <w:r w:rsidR="00E20CD1">
        <w:rPr>
          <w:color w:val="000000" w:themeColor="text1"/>
        </w:rPr>
        <w:t xml:space="preserve"> within the depicted scene</w:t>
      </w:r>
      <w:r w:rsidR="003712FE">
        <w:rPr>
          <w:color w:val="000000" w:themeColor="text1"/>
        </w:rPr>
        <w:t>, c</w:t>
      </w:r>
      <w:r w:rsidR="00E74EA2">
        <w:rPr>
          <w:color w:val="000000" w:themeColor="text1"/>
        </w:rPr>
        <w:t>iting</w:t>
      </w:r>
      <w:r w:rsidR="003712FE">
        <w:rPr>
          <w:color w:val="000000" w:themeColor="text1"/>
        </w:rPr>
        <w:t xml:space="preserve"> the words spoken by the </w:t>
      </w:r>
      <w:r w:rsidR="007C5D5A">
        <w:rPr>
          <w:color w:val="000000" w:themeColor="text1"/>
        </w:rPr>
        <w:t xml:space="preserve">interviewed </w:t>
      </w:r>
      <w:r w:rsidR="003712FE">
        <w:rPr>
          <w:color w:val="000000" w:themeColor="text1"/>
        </w:rPr>
        <w:t>individuals</w:t>
      </w:r>
      <w:r w:rsidR="00E20CD1">
        <w:rPr>
          <w:color w:val="000000" w:themeColor="text1"/>
        </w:rPr>
        <w:t xml:space="preserve">. </w:t>
      </w:r>
      <w:r>
        <w:rPr>
          <w:color w:val="000000" w:themeColor="text1"/>
        </w:rPr>
        <w:t>The process is highly organic</w:t>
      </w:r>
      <w:r w:rsidR="00DF1543">
        <w:rPr>
          <w:color w:val="000000" w:themeColor="text1"/>
        </w:rPr>
        <w:t xml:space="preserve">. </w:t>
      </w:r>
      <w:r w:rsidR="00C35E40">
        <w:rPr>
          <w:color w:val="000000" w:themeColor="text1"/>
        </w:rPr>
        <w:t xml:space="preserve">Andrew and Oli approach their work as a kind of portraiture, through drawn images and recorded words that </w:t>
      </w:r>
      <w:r w:rsidR="001917A3">
        <w:rPr>
          <w:color w:val="000000" w:themeColor="text1"/>
        </w:rPr>
        <w:t>maintain</w:t>
      </w:r>
      <w:r w:rsidR="00C35E40">
        <w:rPr>
          <w:color w:val="000000" w:themeColor="text1"/>
        </w:rPr>
        <w:t xml:space="preserve"> a</w:t>
      </w:r>
      <w:r w:rsidR="00CE6685">
        <w:rPr>
          <w:color w:val="000000" w:themeColor="text1"/>
        </w:rPr>
        <w:t xml:space="preserve"> link</w:t>
      </w:r>
      <w:r w:rsidR="00DF1BE7">
        <w:rPr>
          <w:color w:val="000000" w:themeColor="text1"/>
        </w:rPr>
        <w:t xml:space="preserve"> </w:t>
      </w:r>
      <w:r w:rsidR="00C35E40">
        <w:rPr>
          <w:color w:val="000000" w:themeColor="text1"/>
        </w:rPr>
        <w:t xml:space="preserve">to what is being represented. </w:t>
      </w:r>
      <w:r w:rsidR="00F02A61">
        <w:rPr>
          <w:color w:val="000000" w:themeColor="text1"/>
        </w:rPr>
        <w:t xml:space="preserve">Eventually, the finished book will </w:t>
      </w:r>
      <w:r w:rsidR="00F02A61" w:rsidRPr="00F02A61">
        <w:rPr>
          <w:color w:val="000000" w:themeColor="text1"/>
        </w:rPr>
        <w:t>include</w:t>
      </w:r>
      <w:r w:rsidR="00F02A61" w:rsidRPr="00F02A61">
        <w:t xml:space="preserve"> an illustrated map</w:t>
      </w:r>
      <w:r w:rsidR="00F02A61">
        <w:t xml:space="preserve"> marked</w:t>
      </w:r>
      <w:r w:rsidR="00F02A61" w:rsidRPr="00F02A61">
        <w:t xml:space="preserve"> with all the places </w:t>
      </w:r>
      <w:r w:rsidR="00F02A61">
        <w:t xml:space="preserve">they </w:t>
      </w:r>
      <w:r w:rsidR="00F02A61" w:rsidRPr="00F02A61">
        <w:t>visited</w:t>
      </w:r>
      <w:r w:rsidR="00BB41B0">
        <w:t xml:space="preserve"> in addition to the drawings and accompanying stories, looking like a graphic novel</w:t>
      </w:r>
      <w:r w:rsidR="00F02A61" w:rsidRPr="00F02A61">
        <w:t>.</w:t>
      </w:r>
      <w:r w:rsidR="00BB41B0">
        <w:rPr>
          <w:rStyle w:val="EndnoteReference"/>
        </w:rPr>
        <w:endnoteReference w:id="4"/>
      </w:r>
      <w:r w:rsidR="00F02A61" w:rsidRPr="00F02A61">
        <w:t xml:space="preserve"> </w:t>
      </w:r>
    </w:p>
    <w:p w14:paraId="743EDA32" w14:textId="15A7F1C9" w:rsidR="004A01D0" w:rsidRDefault="001C3618" w:rsidP="00B75E9D">
      <w:pPr>
        <w:pStyle w:val="NormalWeb"/>
        <w:spacing w:before="0" w:beforeAutospacing="0" w:line="480" w:lineRule="auto"/>
        <w:ind w:firstLine="720"/>
      </w:pPr>
      <w:r>
        <w:t>Audiences of Humphreys’ and Kugler’s Keynote Address for the 12</w:t>
      </w:r>
      <w:r w:rsidRPr="001C3618">
        <w:rPr>
          <w:vertAlign w:val="superscript"/>
        </w:rPr>
        <w:t>th</w:t>
      </w:r>
      <w:r>
        <w:t xml:space="preserve"> Annual In</w:t>
      </w:r>
      <w:r w:rsidR="00364F94">
        <w:t>t</w:t>
      </w:r>
      <w:r>
        <w:t xml:space="preserve">ernational Illustration Research Symposium delivered online by Falmouth University, UK, July 15-16, 2022, were treated to an introduction to </w:t>
      </w:r>
      <w:r w:rsidR="00BD17DB">
        <w:t xml:space="preserve">the illustrations and stories developed thus far for </w:t>
      </w:r>
      <w:r>
        <w:rPr>
          <w:i/>
          <w:iCs/>
        </w:rPr>
        <w:t>The Great Fish &amp;</w:t>
      </w:r>
      <w:r w:rsidR="00BD17DB">
        <w:rPr>
          <w:i/>
          <w:iCs/>
        </w:rPr>
        <w:t xml:space="preserve"> Chips</w:t>
      </w:r>
      <w:r w:rsidR="00BD17DB">
        <w:t xml:space="preserve">, some of the imagery of which </w:t>
      </w:r>
      <w:r w:rsidR="00364F94">
        <w:t xml:space="preserve">are </w:t>
      </w:r>
      <w:r w:rsidR="00BD17DB">
        <w:t>includ</w:t>
      </w:r>
      <w:r w:rsidR="00364F94">
        <w:t>ed</w:t>
      </w:r>
      <w:r w:rsidR="00BD17DB">
        <w:t xml:space="preserve"> in the current analysis. </w:t>
      </w:r>
      <w:r w:rsidR="004A01D0">
        <w:t xml:space="preserve">Figure 1 depicts Benny’s Fish &amp; Chips in Clapham, South London. We see the owner, whose name we will learn is Benny, </w:t>
      </w:r>
      <w:proofErr w:type="gramStart"/>
      <w:r w:rsidR="004A01D0">
        <w:t>opening up</w:t>
      </w:r>
      <w:proofErr w:type="gramEnd"/>
      <w:r w:rsidR="004A01D0">
        <w:t xml:space="preserve"> the </w:t>
      </w:r>
      <w:r w:rsidR="0086007E">
        <w:t>c</w:t>
      </w:r>
      <w:r w:rsidR="004A01D0">
        <w:t>hipp</w:t>
      </w:r>
      <w:r w:rsidR="006F41E0">
        <w:t>ie</w:t>
      </w:r>
      <w:r w:rsidR="004A01D0">
        <w:t xml:space="preserve">, on a typical London corner, one morning. The narration is displayed in highlighted yellow boxes, </w:t>
      </w:r>
      <w:r w:rsidR="00237329">
        <w:t xml:space="preserve">placed above </w:t>
      </w:r>
      <w:r w:rsidR="004A01D0">
        <w:t xml:space="preserve">the illustrated scene. This narration gives us a specific time and date: ‘It is 11 o’clock on the morning of 09.06.2018 and the owner is getting the shop ready for the day’s business.’ </w:t>
      </w:r>
      <w:r w:rsidR="00AF2924">
        <w:t>We also see</w:t>
      </w:r>
      <w:r w:rsidR="004A01D0">
        <w:t xml:space="preserve"> Benny’s words</w:t>
      </w:r>
      <w:r w:rsidR="000C7DB6">
        <w:t xml:space="preserve"> </w:t>
      </w:r>
      <w:r w:rsidR="004A01D0">
        <w:t>in quotation marks</w:t>
      </w:r>
      <w:r w:rsidR="002F3EA2">
        <w:t xml:space="preserve">, situated to </w:t>
      </w:r>
      <w:r w:rsidR="00750F39">
        <w:t xml:space="preserve">his </w:t>
      </w:r>
      <w:r w:rsidR="002F3EA2">
        <w:t xml:space="preserve">right, floating </w:t>
      </w:r>
      <w:r w:rsidR="006C41C6">
        <w:t>within the composition</w:t>
      </w:r>
      <w:r w:rsidR="004A01D0">
        <w:t xml:space="preserve">: ‘Every time before I open the shop, I say a private a prayer to help me survive the night…’ </w:t>
      </w:r>
      <w:r w:rsidR="00524385">
        <w:t xml:space="preserve"> </w:t>
      </w:r>
      <w:r w:rsidR="004A01D0">
        <w:t xml:space="preserve">In the foreground of the page is a close-up anatomization of British Fish &amp; Chips, labelled with attendant text.  The zoomed-in image displays all that makes up a plate of </w:t>
      </w:r>
      <w:r w:rsidR="00DC22F0">
        <w:t>f</w:t>
      </w:r>
      <w:r w:rsidR="004A01D0">
        <w:t xml:space="preserve">ish and chips: vinegar, salt, cod, chips, sugar, mushy peas, lemon, and cup of tea. Each ingredient is identified through an arrow coming out of a word, e.g. ‘vinegar’. </w:t>
      </w:r>
      <w:r w:rsidR="005D0703">
        <w:t xml:space="preserve"> N</w:t>
      </w:r>
      <w:r w:rsidR="004A01D0">
        <w:t xml:space="preserve">arrative text introduces the point of investigation of the entire project: ‘Fish and chips, the great British meal. A fillet of fish deep-fried in batter, served with chips and mushy peas, and seasoned with salt and vinegar, and ideally accompanied by a cup of tea. It’s a national institution!’ </w:t>
      </w:r>
      <w:r w:rsidR="004A01D0">
        <w:lastRenderedPageBreak/>
        <w:t xml:space="preserve">Having seen the cover of the book, the reader already reads the image through the illustrator and writer’s ironic lens. (see figure 2) </w:t>
      </w:r>
    </w:p>
    <w:p w14:paraId="50839A87" w14:textId="5C9675B9" w:rsidR="004A01D0" w:rsidRDefault="004A01D0" w:rsidP="00B12074">
      <w:pPr>
        <w:pStyle w:val="NormalWeb"/>
        <w:spacing w:before="0" w:beforeAutospacing="0" w:line="480" w:lineRule="auto"/>
        <w:ind w:firstLine="720"/>
      </w:pPr>
      <w:r>
        <w:t xml:space="preserve">The book cover presents the identical plate of </w:t>
      </w:r>
      <w:r w:rsidR="0081590B">
        <w:t>f</w:t>
      </w:r>
      <w:r>
        <w:t xml:space="preserve">ish and </w:t>
      </w:r>
      <w:r w:rsidR="0081590B">
        <w:t>c</w:t>
      </w:r>
      <w:r>
        <w:t xml:space="preserve">hips described </w:t>
      </w:r>
      <w:proofErr w:type="gramStart"/>
      <w:r>
        <w:t>above,</w:t>
      </w:r>
      <w:proofErr w:type="gramEnd"/>
      <w:r>
        <w:t xml:space="preserve"> however, it also includes, in parentheses after the words that </w:t>
      </w:r>
      <w:r w:rsidR="00E52B66">
        <w:t>indicate that</w:t>
      </w:r>
      <w:r>
        <w:t xml:space="preserve"> image, the </w:t>
      </w:r>
      <w:r w:rsidR="009D1262">
        <w:t xml:space="preserve">country of </w:t>
      </w:r>
      <w:r>
        <w:t xml:space="preserve">origin of that particular commodity. Hence, ‘Cod (Faroe Islands)’; ‘vinegar (United States)’; ‘salt (Britain)’; ‘tea (China, India, or Kenya)’; ‘sugar (Belize)’; ‘lemon (Spain or Turkey)’; ‘Mushy peas (Britain)’; ‘chips (Britain or Cypress).’ Here, </w:t>
      </w:r>
      <w:r w:rsidR="00A31DF8">
        <w:t>t</w:t>
      </w:r>
      <w:r>
        <w:t>he ingredients’ origin, pointing to their corresponding ingredient, break</w:t>
      </w:r>
      <w:r w:rsidR="00142AAF">
        <w:t>s</w:t>
      </w:r>
      <w:r>
        <w:t xml:space="preserve"> down the magical aura of this commodity being British in a homogenous way. Similarly, the </w:t>
      </w:r>
      <w:r w:rsidR="00132D88">
        <w:t xml:space="preserve">book’s </w:t>
      </w:r>
      <w:r w:rsidR="00E11DC3">
        <w:t>depiction of</w:t>
      </w:r>
      <w:r>
        <w:t xml:space="preserve"> </w:t>
      </w:r>
      <w:r w:rsidR="000E35F7">
        <w:t>individuals</w:t>
      </w:r>
      <w:r>
        <w:t xml:space="preserve">, from </w:t>
      </w:r>
      <w:r w:rsidR="00E11DC3">
        <w:t>chippie,</w:t>
      </w:r>
      <w:r>
        <w:t xml:space="preserve"> back through suppliers and fishermen, shows that ‘British’ workers in the </w:t>
      </w:r>
      <w:r w:rsidR="004926FA">
        <w:t>f</w:t>
      </w:r>
      <w:r>
        <w:t xml:space="preserve">ish </w:t>
      </w:r>
      <w:r w:rsidR="004926FA">
        <w:t>and c</w:t>
      </w:r>
      <w:r>
        <w:t xml:space="preserve">hips industry hail from Cypress, the Philippines, Eastern Europe, Turkey, and Iceland, among other non-British places. The people whom Kugler and Humphreys encountered in their research, </w:t>
      </w:r>
      <w:proofErr w:type="gramStart"/>
      <w:r>
        <w:t>hand-drawn</w:t>
      </w:r>
      <w:proofErr w:type="gramEnd"/>
      <w:r>
        <w:t xml:space="preserve"> by Kugler</w:t>
      </w:r>
      <w:r w:rsidR="00411355">
        <w:t xml:space="preserve"> from his photographs,</w:t>
      </w:r>
      <w:r>
        <w:t xml:space="preserve"> whose words are recorded and </w:t>
      </w:r>
      <w:r w:rsidR="00411355">
        <w:t>quoted</w:t>
      </w:r>
      <w:r>
        <w:t xml:space="preserve"> by Humphreys, in</w:t>
      </w:r>
      <w:r w:rsidR="005406B5">
        <w:t>troduce</w:t>
      </w:r>
      <w:r>
        <w:t xml:space="preserve"> </w:t>
      </w:r>
      <w:r w:rsidR="00F52F85">
        <w:t xml:space="preserve">vibrant </w:t>
      </w:r>
      <w:r w:rsidR="00B51E45">
        <w:t>stories</w:t>
      </w:r>
      <w:r w:rsidR="00F52F85">
        <w:t xml:space="preserve"> </w:t>
      </w:r>
      <w:r>
        <w:t xml:space="preserve">into what would otherwise be an objective </w:t>
      </w:r>
      <w:r w:rsidR="00F52F85">
        <w:t xml:space="preserve">general </w:t>
      </w:r>
      <w:r>
        <w:t xml:space="preserve">term, ‘national dish.’ </w:t>
      </w:r>
      <w:r w:rsidR="00BA3CBC">
        <w:t>Real life s</w:t>
      </w:r>
      <w:r>
        <w:t xml:space="preserve">tories such as that of Benny (see Figure 3) complicate mythic </w:t>
      </w:r>
      <w:r w:rsidR="00F52F85">
        <w:t xml:space="preserve">the </w:t>
      </w:r>
      <w:r>
        <w:t>constructions of nationality</w:t>
      </w:r>
      <w:r w:rsidR="00F52F85">
        <w:t xml:space="preserve"> embraced on behalf of the British fishing industry engendered by </w:t>
      </w:r>
      <w:r w:rsidR="002C4C1D">
        <w:t>the values and ideologies of Brexit</w:t>
      </w:r>
      <w:r>
        <w:t xml:space="preserve">. </w:t>
      </w:r>
    </w:p>
    <w:p w14:paraId="68EACE80" w14:textId="1954E475" w:rsidR="001902DE" w:rsidRPr="001C37BB" w:rsidRDefault="001902DE" w:rsidP="00CE38D8">
      <w:pPr>
        <w:pStyle w:val="yiv2993738465msonormal"/>
        <w:spacing w:before="0" w:beforeAutospacing="0" w:after="160" w:afterAutospacing="0" w:line="480" w:lineRule="auto"/>
        <w:ind w:firstLine="720"/>
        <w:rPr>
          <w:color w:val="1D2228"/>
        </w:rPr>
      </w:pPr>
      <w:r>
        <w:t xml:space="preserve">British fisherman became the focal point and sign of the Brexit debate. </w:t>
      </w:r>
      <w:r w:rsidR="00CE38D8">
        <w:rPr>
          <w:color w:val="1D2228"/>
        </w:rPr>
        <w:t>An example of a</w:t>
      </w:r>
      <w:r w:rsidRPr="001C37BB">
        <w:rPr>
          <w:color w:val="1D2228"/>
        </w:rPr>
        <w:t xml:space="preserve"> double spread </w:t>
      </w:r>
      <w:r>
        <w:rPr>
          <w:color w:val="1D2228"/>
        </w:rPr>
        <w:t xml:space="preserve">of </w:t>
      </w:r>
      <w:r w:rsidRPr="001C37BB">
        <w:rPr>
          <w:i/>
          <w:iCs/>
          <w:color w:val="1D2228"/>
        </w:rPr>
        <w:t>The Great Fish &amp; Chips</w:t>
      </w:r>
      <w:r w:rsidRPr="00BE6542">
        <w:rPr>
          <w:rStyle w:val="EndnoteReference"/>
          <w:color w:val="1D2228"/>
        </w:rPr>
        <w:endnoteReference w:id="5"/>
      </w:r>
      <w:r w:rsidR="00BE6542">
        <w:rPr>
          <w:i/>
          <w:iCs/>
          <w:color w:val="1D2228"/>
        </w:rPr>
        <w:t xml:space="preserve"> </w:t>
      </w:r>
      <w:r w:rsidR="00BE6542">
        <w:rPr>
          <w:color w:val="1D2228"/>
        </w:rPr>
        <w:t>(</w:t>
      </w:r>
      <w:r w:rsidRPr="001C37BB">
        <w:rPr>
          <w:color w:val="1D2228"/>
        </w:rPr>
        <w:t xml:space="preserve">Figure </w:t>
      </w:r>
      <w:r>
        <w:rPr>
          <w:color w:val="1D2228"/>
        </w:rPr>
        <w:t>4</w:t>
      </w:r>
      <w:r w:rsidRPr="001C37BB">
        <w:rPr>
          <w:color w:val="1D2228"/>
        </w:rPr>
        <w:t>)</w:t>
      </w:r>
      <w:r w:rsidR="00CE38D8">
        <w:rPr>
          <w:color w:val="1D2228"/>
        </w:rPr>
        <w:t xml:space="preserve"> presents</w:t>
      </w:r>
      <w:r w:rsidRPr="001C37BB">
        <w:rPr>
          <w:color w:val="1D2228"/>
        </w:rPr>
        <w:t xml:space="preserve"> th</w:t>
      </w:r>
      <w:r>
        <w:rPr>
          <w:color w:val="1D2228"/>
        </w:rPr>
        <w:t xml:space="preserve">e </w:t>
      </w:r>
      <w:r w:rsidR="002C7F6D">
        <w:rPr>
          <w:color w:val="1D2228"/>
        </w:rPr>
        <w:t>contentions within</w:t>
      </w:r>
      <w:r>
        <w:rPr>
          <w:color w:val="1D2228"/>
        </w:rPr>
        <w:t xml:space="preserve"> this </w:t>
      </w:r>
      <w:r w:rsidRPr="001C37BB">
        <w:rPr>
          <w:color w:val="1D2228"/>
        </w:rPr>
        <w:t>social and political contex</w:t>
      </w:r>
      <w:r w:rsidR="00CE38D8">
        <w:rPr>
          <w:color w:val="1D2228"/>
        </w:rPr>
        <w:t>t</w:t>
      </w:r>
      <w:r w:rsidRPr="001C37BB">
        <w:rPr>
          <w:color w:val="1D2228"/>
        </w:rPr>
        <w:t xml:space="preserve">. </w:t>
      </w:r>
      <w:r w:rsidR="004A6321">
        <w:rPr>
          <w:color w:val="1D2228"/>
        </w:rPr>
        <w:t>Writer and illustrator</w:t>
      </w:r>
      <w:r w:rsidRPr="001C37BB">
        <w:rPr>
          <w:color w:val="1D2228"/>
        </w:rPr>
        <w:t xml:space="preserve"> make the most of the compositional allowances of </w:t>
      </w:r>
      <w:r>
        <w:rPr>
          <w:color w:val="1D2228"/>
        </w:rPr>
        <w:t>the medium</w:t>
      </w:r>
      <w:r w:rsidRPr="001C37BB">
        <w:rPr>
          <w:color w:val="1D2228"/>
        </w:rPr>
        <w:t xml:space="preserve">.  In the upper left </w:t>
      </w:r>
      <w:proofErr w:type="gramStart"/>
      <w:r w:rsidRPr="001C37BB">
        <w:rPr>
          <w:color w:val="1D2228"/>
        </w:rPr>
        <w:t>corner</w:t>
      </w:r>
      <w:proofErr w:type="gramEnd"/>
      <w:r w:rsidRPr="001C37BB">
        <w:rPr>
          <w:color w:val="1D2228"/>
        </w:rPr>
        <w:t xml:space="preserve"> we see the mast of a ship with a flag that </w:t>
      </w:r>
      <w:r>
        <w:rPr>
          <w:color w:val="1D2228"/>
        </w:rPr>
        <w:t>appears</w:t>
      </w:r>
      <w:r w:rsidRPr="001C37BB">
        <w:rPr>
          <w:color w:val="1D2228"/>
        </w:rPr>
        <w:t xml:space="preserve"> to be moving in the wind.  In uppercase letters, the message is emblazoned: ‘FISHING FOR LEAVE; SAVE BRITAIN’S FISH.’  Also on this flag, reiterating the message, is a fish, with a shield and flag, both proudly decorated with the Union Jack.  A </w:t>
      </w:r>
      <w:r w:rsidRPr="001C37BB">
        <w:rPr>
          <w:color w:val="1D2228"/>
        </w:rPr>
        <w:lastRenderedPageBreak/>
        <w:t xml:space="preserve">yellow narrative box describes the UK’s love of Fish &amp; Chips and this dish’s role in the Brexit debate.  In the middle of the page, between the horizontally oriented narrative inscriptions, is an image of a trawler boat in motion, with five flags drawn to show that they are moving in the wind, </w:t>
      </w:r>
      <w:r w:rsidR="003A1336">
        <w:rPr>
          <w:color w:val="1D2228"/>
        </w:rPr>
        <w:t>steer</w:t>
      </w:r>
      <w:r>
        <w:rPr>
          <w:color w:val="1D2228"/>
        </w:rPr>
        <w:t>ing</w:t>
      </w:r>
      <w:r w:rsidRPr="001C37BB">
        <w:rPr>
          <w:color w:val="1D2228"/>
        </w:rPr>
        <w:t xml:space="preserve"> the momentum of Brexit.  The flags </w:t>
      </w:r>
      <w:r>
        <w:rPr>
          <w:color w:val="1D2228"/>
        </w:rPr>
        <w:t xml:space="preserve">display </w:t>
      </w:r>
      <w:r w:rsidRPr="001C37BB">
        <w:rPr>
          <w:color w:val="1D2228"/>
        </w:rPr>
        <w:t>recognizable signs of the British nation: a Union Jack flag; a St George’s Cross flag; another flag on which we see the word ‘Fishing’ and ‘—</w:t>
      </w:r>
      <w:proofErr w:type="spellStart"/>
      <w:r w:rsidRPr="001C37BB">
        <w:rPr>
          <w:color w:val="1D2228"/>
        </w:rPr>
        <w:t>ave</w:t>
      </w:r>
      <w:proofErr w:type="spellEnd"/>
      <w:r w:rsidRPr="001C37BB">
        <w:rPr>
          <w:color w:val="1D2228"/>
        </w:rPr>
        <w:t xml:space="preserve">’. We </w:t>
      </w:r>
      <w:r>
        <w:rPr>
          <w:color w:val="1D2228"/>
        </w:rPr>
        <w:t xml:space="preserve">fill in what </w:t>
      </w:r>
      <w:r w:rsidRPr="001C37BB">
        <w:rPr>
          <w:color w:val="1D2228"/>
        </w:rPr>
        <w:t>this word would be,</w:t>
      </w:r>
      <w:r w:rsidR="000A0657">
        <w:rPr>
          <w:color w:val="1D2228"/>
        </w:rPr>
        <w:t xml:space="preserve"> </w:t>
      </w:r>
      <w:r w:rsidRPr="001C37BB">
        <w:rPr>
          <w:color w:val="1D2228"/>
        </w:rPr>
        <w:t>if we could see the entire flag: ‘Save.’ Another slogan on the trawler, which looks like a hand-painted sign, reads: ‘Let’s put the Great Back into Britain, Vote Out and Be GREAT AGAIN.’ Also included in this group of signifiers of British nationhood is a floating logo of</w:t>
      </w:r>
      <w:r w:rsidRPr="001C37BB">
        <w:rPr>
          <w:rStyle w:val="apple-converted-space"/>
          <w:color w:val="1D2228"/>
        </w:rPr>
        <w:t> </w:t>
      </w:r>
      <w:r w:rsidRPr="001C37BB">
        <w:rPr>
          <w:i/>
          <w:iCs/>
          <w:color w:val="1D2228"/>
        </w:rPr>
        <w:t>The Sun</w:t>
      </w:r>
      <w:r w:rsidRPr="001C37BB">
        <w:rPr>
          <w:rStyle w:val="apple-converted-space"/>
          <w:color w:val="1D2228"/>
        </w:rPr>
        <w:t> </w:t>
      </w:r>
      <w:r w:rsidRPr="001C37BB">
        <w:rPr>
          <w:color w:val="1D2228"/>
        </w:rPr>
        <w:t>newspaper</w:t>
      </w:r>
      <w:r>
        <w:rPr>
          <w:color w:val="1D2228"/>
        </w:rPr>
        <w:t xml:space="preserve"> </w:t>
      </w:r>
      <w:r w:rsidRPr="001C37BB">
        <w:rPr>
          <w:color w:val="1D2228"/>
        </w:rPr>
        <w:t>in the left margin.</w:t>
      </w:r>
      <w:r w:rsidRPr="001C37BB">
        <w:rPr>
          <w:rStyle w:val="apple-converted-space"/>
          <w:color w:val="1D2228"/>
        </w:rPr>
        <w:t> </w:t>
      </w:r>
    </w:p>
    <w:p w14:paraId="1300F964" w14:textId="16ABEB4C" w:rsidR="001902DE" w:rsidRPr="001C37BB" w:rsidRDefault="001902DE" w:rsidP="001902DE">
      <w:pPr>
        <w:pStyle w:val="yiv2993738465msonormal"/>
        <w:spacing w:before="0" w:beforeAutospacing="0" w:after="160" w:afterAutospacing="0" w:line="480" w:lineRule="auto"/>
        <w:ind w:firstLine="720"/>
        <w:rPr>
          <w:color w:val="1D2228"/>
        </w:rPr>
      </w:pPr>
      <w:r>
        <w:rPr>
          <w:color w:val="1D2228"/>
        </w:rPr>
        <w:t>S</w:t>
      </w:r>
      <w:r w:rsidRPr="001C37BB">
        <w:rPr>
          <w:color w:val="1D2228"/>
        </w:rPr>
        <w:t xml:space="preserve">pecific to </w:t>
      </w:r>
      <w:r>
        <w:rPr>
          <w:color w:val="1D2228"/>
        </w:rPr>
        <w:t xml:space="preserve">the formal means of </w:t>
      </w:r>
      <w:r w:rsidRPr="001C37BB">
        <w:rPr>
          <w:color w:val="1D2228"/>
        </w:rPr>
        <w:t xml:space="preserve">graphic illustration is the maximalization of both pages of a spread, including the white negative space down the middle separating the pages. This white negative space, as utilized in </w:t>
      </w:r>
      <w:r>
        <w:rPr>
          <w:color w:val="1D2228"/>
        </w:rPr>
        <w:t xml:space="preserve">Figure </w:t>
      </w:r>
      <w:r w:rsidR="0032038D">
        <w:rPr>
          <w:color w:val="1D2228"/>
        </w:rPr>
        <w:t>4</w:t>
      </w:r>
      <w:r w:rsidRPr="001C37BB">
        <w:rPr>
          <w:color w:val="1D2228"/>
        </w:rPr>
        <w:t xml:space="preserve">, is a dynamic space across which one image relates to other images on the opposite page. </w:t>
      </w:r>
      <w:r>
        <w:rPr>
          <w:color w:val="1D2228"/>
        </w:rPr>
        <w:t>We</w:t>
      </w:r>
      <w:r w:rsidRPr="001C37BB">
        <w:rPr>
          <w:color w:val="1D2228"/>
        </w:rPr>
        <w:t xml:space="preserve"> see a drawing of Nigel Farage, set apart from the scene, in the upper right corner.  Kugler has drawn Farage holding a dead haddock in each hand, and we see a hand coming towards </w:t>
      </w:r>
      <w:r>
        <w:rPr>
          <w:color w:val="1D2228"/>
        </w:rPr>
        <w:t>Farage</w:t>
      </w:r>
      <w:r w:rsidRPr="001C37BB">
        <w:rPr>
          <w:color w:val="1D2228"/>
        </w:rPr>
        <w:t xml:space="preserve"> that is holding a microphone from beyond the edge of the page. Farage’s body is turned at a three-quarter degree angle, on a diagonal which points our eye downwards to the patriotic trawler depicted on the opposite page, in the bottom left corner. </w:t>
      </w:r>
      <w:r>
        <w:rPr>
          <w:color w:val="1D2228"/>
        </w:rPr>
        <w:t>H</w:t>
      </w:r>
      <w:r w:rsidRPr="001C37BB">
        <w:rPr>
          <w:color w:val="1D2228"/>
        </w:rPr>
        <w:t xml:space="preserve">is mouth </w:t>
      </w:r>
      <w:r>
        <w:rPr>
          <w:color w:val="1D2228"/>
        </w:rPr>
        <w:t xml:space="preserve">is </w:t>
      </w:r>
      <w:r w:rsidRPr="001C37BB">
        <w:rPr>
          <w:color w:val="1D2228"/>
        </w:rPr>
        <w:t xml:space="preserve">open, with a large floating speech bubble placed to his right. The </w:t>
      </w:r>
      <w:r>
        <w:rPr>
          <w:color w:val="1D2228"/>
        </w:rPr>
        <w:t>page’s</w:t>
      </w:r>
      <w:r w:rsidRPr="001C37BB">
        <w:rPr>
          <w:color w:val="1D2228"/>
        </w:rPr>
        <w:t xml:space="preserve"> horizontal registers</w:t>
      </w:r>
      <w:r>
        <w:rPr>
          <w:color w:val="1D2228"/>
        </w:rPr>
        <w:t xml:space="preserve"> depict </w:t>
      </w:r>
      <w:r w:rsidRPr="001C37BB">
        <w:rPr>
          <w:color w:val="1D2228"/>
        </w:rPr>
        <w:t xml:space="preserve">the speaking Farage with the microphones on the uppermost register; the Houses of Parliament on the next register; another image of the trawler, with a highlighted blue section </w:t>
      </w:r>
      <w:r>
        <w:rPr>
          <w:color w:val="1D2228"/>
        </w:rPr>
        <w:t>en</w:t>
      </w:r>
      <w:r w:rsidRPr="001C37BB">
        <w:rPr>
          <w:color w:val="1D2228"/>
        </w:rPr>
        <w:t>circling what is identified as Farage (from a distance) on the trawler</w:t>
      </w:r>
      <w:r>
        <w:rPr>
          <w:color w:val="1D2228"/>
        </w:rPr>
        <w:t xml:space="preserve"> </w:t>
      </w:r>
      <w:r w:rsidRPr="001C37BB">
        <w:rPr>
          <w:color w:val="1D2228"/>
        </w:rPr>
        <w:t xml:space="preserve">accompanied by </w:t>
      </w:r>
      <w:r>
        <w:rPr>
          <w:color w:val="1D2228"/>
        </w:rPr>
        <w:t xml:space="preserve">his props, the </w:t>
      </w:r>
      <w:r w:rsidRPr="001C37BB">
        <w:rPr>
          <w:color w:val="1D2228"/>
        </w:rPr>
        <w:t>dead haddock</w:t>
      </w:r>
      <w:r>
        <w:rPr>
          <w:color w:val="1D2228"/>
        </w:rPr>
        <w:t>s</w:t>
      </w:r>
      <w:r w:rsidRPr="001C37BB">
        <w:rPr>
          <w:color w:val="1D2228"/>
        </w:rPr>
        <w:t xml:space="preserve">, on the next register; and finally, on the lowest register, in the foreground, a zoomed-in image of Michel Barnier, </w:t>
      </w:r>
      <w:r w:rsidRPr="001C37BB">
        <w:rPr>
          <w:color w:val="1D2228"/>
        </w:rPr>
        <w:lastRenderedPageBreak/>
        <w:t>identified as the EU’s Chief Negotiator.  Barnier is also given his own speech bubble, which says that the EU wants the status quo.</w:t>
      </w:r>
      <w:r w:rsidRPr="001C37BB">
        <w:rPr>
          <w:rStyle w:val="apple-converted-space"/>
          <w:color w:val="1D2228"/>
        </w:rPr>
        <w:t> </w:t>
      </w:r>
    </w:p>
    <w:p w14:paraId="276C3298" w14:textId="23E4F939" w:rsidR="001902DE" w:rsidRPr="001C37BB" w:rsidRDefault="001902DE" w:rsidP="00A94B68">
      <w:pPr>
        <w:pStyle w:val="yiv2993738465msonormal"/>
        <w:spacing w:before="0" w:beforeAutospacing="0" w:after="160" w:afterAutospacing="0" w:line="480" w:lineRule="auto"/>
        <w:ind w:firstLine="720"/>
        <w:rPr>
          <w:color w:val="1D2228"/>
        </w:rPr>
      </w:pPr>
      <w:r w:rsidRPr="001C37BB">
        <w:rPr>
          <w:color w:val="1D2228"/>
        </w:rPr>
        <w:t xml:space="preserve">The organization into horizontal registers allows for a </w:t>
      </w:r>
      <w:r>
        <w:rPr>
          <w:color w:val="1D2228"/>
        </w:rPr>
        <w:t xml:space="preserve">juxtaposition </w:t>
      </w:r>
      <w:r w:rsidRPr="001C37BB">
        <w:rPr>
          <w:color w:val="1D2228"/>
        </w:rPr>
        <w:t>of narration</w:t>
      </w:r>
      <w:r>
        <w:rPr>
          <w:color w:val="1D2228"/>
        </w:rPr>
        <w:t xml:space="preserve">, </w:t>
      </w:r>
      <w:r w:rsidRPr="001C37BB">
        <w:rPr>
          <w:color w:val="1D2228"/>
        </w:rPr>
        <w:t xml:space="preserve">images, symbols, and speech bubbles within and across a controlled visual field, which act as a composite of related signifiers across time and space. The viewer’s first encounter is the image of Farage, speaking to the </w:t>
      </w:r>
      <w:r w:rsidR="005906FD">
        <w:rPr>
          <w:color w:val="1D2228"/>
        </w:rPr>
        <w:t>P</w:t>
      </w:r>
      <w:r w:rsidRPr="001C37BB">
        <w:rPr>
          <w:color w:val="1D2228"/>
        </w:rPr>
        <w:t>ress and to the public: Kugler and Humphrey insert Farage’s famous phrase</w:t>
      </w:r>
      <w:r>
        <w:rPr>
          <w:color w:val="1D2228"/>
        </w:rPr>
        <w:t xml:space="preserve">, </w:t>
      </w:r>
      <w:r w:rsidRPr="001C37BB">
        <w:rPr>
          <w:color w:val="1D2228"/>
        </w:rPr>
        <w:t xml:space="preserve">added in as part of the composite nature of the spread: ‘The acid-test of Brexit is, have we got back our territorial waters?’ </w:t>
      </w:r>
      <w:r>
        <w:rPr>
          <w:color w:val="1D2228"/>
        </w:rPr>
        <w:t>A</w:t>
      </w:r>
      <w:r w:rsidRPr="001C37BB">
        <w:rPr>
          <w:color w:val="1D2228"/>
        </w:rPr>
        <w:t xml:space="preserve"> relay between Farage</w:t>
      </w:r>
      <w:r>
        <w:rPr>
          <w:color w:val="1D2228"/>
        </w:rPr>
        <w:t>, the flags,</w:t>
      </w:r>
      <w:r w:rsidRPr="001C37BB">
        <w:rPr>
          <w:color w:val="1D2228"/>
        </w:rPr>
        <w:t xml:space="preserve"> and the fishermen</w:t>
      </w:r>
      <w:r>
        <w:rPr>
          <w:color w:val="1D2228"/>
        </w:rPr>
        <w:t xml:space="preserve"> has been established</w:t>
      </w:r>
      <w:r w:rsidRPr="001C37BB">
        <w:rPr>
          <w:color w:val="1D2228"/>
        </w:rPr>
        <w:t xml:space="preserve">. There are also two inset images, both of which depict the EU blue background with its circle of yellow stars.  One blue inset shows Barnier, the other blue inset a hand, surrounded by the circle of yellow stars, with a middle finger expressing the </w:t>
      </w:r>
      <w:proofErr w:type="spellStart"/>
      <w:r w:rsidRPr="001C37BB">
        <w:rPr>
          <w:color w:val="1D2228"/>
        </w:rPr>
        <w:t>fishermens</w:t>
      </w:r>
      <w:proofErr w:type="spellEnd"/>
      <w:r w:rsidRPr="001C37BB">
        <w:rPr>
          <w:color w:val="1D2228"/>
        </w:rPr>
        <w:t xml:space="preserve">’ </w:t>
      </w:r>
      <w:r>
        <w:rPr>
          <w:color w:val="1D2228"/>
        </w:rPr>
        <w:t>sentiments</w:t>
      </w:r>
      <w:r w:rsidRPr="001C37BB">
        <w:rPr>
          <w:color w:val="1D2228"/>
        </w:rPr>
        <w:t>.</w:t>
      </w:r>
      <w:r>
        <w:rPr>
          <w:color w:val="1D2228"/>
        </w:rPr>
        <w:t xml:space="preserve"> </w:t>
      </w:r>
      <w:r w:rsidRPr="001C37BB">
        <w:rPr>
          <w:color w:val="1D2228"/>
        </w:rPr>
        <w:t xml:space="preserve">The connotations set into motion between images of Barnier </w:t>
      </w:r>
      <w:r>
        <w:rPr>
          <w:color w:val="1D2228"/>
        </w:rPr>
        <w:t xml:space="preserve">against </w:t>
      </w:r>
      <w:r w:rsidRPr="001C37BB">
        <w:rPr>
          <w:color w:val="1D2228"/>
        </w:rPr>
        <w:t xml:space="preserve">the European Union flag, and Farage, </w:t>
      </w:r>
      <w:r>
        <w:rPr>
          <w:color w:val="1D2228"/>
        </w:rPr>
        <w:t>associated with</w:t>
      </w:r>
      <w:r w:rsidRPr="001C37BB">
        <w:rPr>
          <w:color w:val="1D2228"/>
        </w:rPr>
        <w:t xml:space="preserve"> the emblazoned British/Brexit fishing trawler and the Houses of Parliament, create a</w:t>
      </w:r>
      <w:r w:rsidR="00DB67EA">
        <w:rPr>
          <w:color w:val="1D2228"/>
        </w:rPr>
        <w:t>n active</w:t>
      </w:r>
      <w:r w:rsidRPr="001C37BB">
        <w:rPr>
          <w:color w:val="1D2228"/>
        </w:rPr>
        <w:t xml:space="preserve"> signifying field that enhances the </w:t>
      </w:r>
      <w:r w:rsidR="00F03292">
        <w:rPr>
          <w:color w:val="1D2228"/>
        </w:rPr>
        <w:t xml:space="preserve">opposition of </w:t>
      </w:r>
      <w:r w:rsidRPr="001C37BB">
        <w:rPr>
          <w:color w:val="1D2228"/>
        </w:rPr>
        <w:t xml:space="preserve">each </w:t>
      </w:r>
      <w:r w:rsidR="00F03292">
        <w:rPr>
          <w:color w:val="1D2228"/>
        </w:rPr>
        <w:t>side’s stance</w:t>
      </w:r>
      <w:r w:rsidRPr="001C37BB">
        <w:rPr>
          <w:color w:val="1D2228"/>
        </w:rPr>
        <w:t xml:space="preserve">. The negative space out of which the composite of signifiers </w:t>
      </w:r>
      <w:proofErr w:type="gramStart"/>
      <w:r w:rsidRPr="001C37BB">
        <w:rPr>
          <w:color w:val="1D2228"/>
        </w:rPr>
        <w:t>emerge</w:t>
      </w:r>
      <w:proofErr w:type="gramEnd"/>
      <w:r w:rsidRPr="001C37BB">
        <w:rPr>
          <w:color w:val="1D2228"/>
        </w:rPr>
        <w:t xml:space="preserve">, so prominently enunciated </w:t>
      </w:r>
      <w:r>
        <w:rPr>
          <w:color w:val="1D2228"/>
        </w:rPr>
        <w:t>across</w:t>
      </w:r>
      <w:r w:rsidRPr="001C37BB">
        <w:rPr>
          <w:color w:val="1D2228"/>
        </w:rPr>
        <w:t xml:space="preserve"> the white space between each page of the spread, pulls the reader into the scenario and its debates. The composition utilizes syntagmatic, directional relations between the signifiers </w:t>
      </w:r>
      <w:r w:rsidR="005B77F1">
        <w:rPr>
          <w:color w:val="1D2228"/>
        </w:rPr>
        <w:t>of</w:t>
      </w:r>
      <w:r w:rsidRPr="001C37BB">
        <w:rPr>
          <w:color w:val="1D2228"/>
        </w:rPr>
        <w:t xml:space="preserve"> social and political referents</w:t>
      </w:r>
      <w:r>
        <w:rPr>
          <w:color w:val="1D2228"/>
        </w:rPr>
        <w:t>, maximizing</w:t>
      </w:r>
      <w:r w:rsidRPr="001C37BB">
        <w:rPr>
          <w:color w:val="1D2228"/>
        </w:rPr>
        <w:t xml:space="preserve"> </w:t>
      </w:r>
      <w:r w:rsidR="00944373">
        <w:rPr>
          <w:color w:val="1D2228"/>
        </w:rPr>
        <w:t>an</w:t>
      </w:r>
      <w:r w:rsidRPr="001C37BB">
        <w:rPr>
          <w:color w:val="1D2228"/>
        </w:rPr>
        <w:t xml:space="preserve"> </w:t>
      </w:r>
      <w:r>
        <w:rPr>
          <w:color w:val="1D2228"/>
        </w:rPr>
        <w:t>ind</w:t>
      </w:r>
      <w:r w:rsidR="0060210B">
        <w:rPr>
          <w:color w:val="1D2228"/>
        </w:rPr>
        <w:t>icative</w:t>
      </w:r>
      <w:r>
        <w:rPr>
          <w:color w:val="1D2228"/>
        </w:rPr>
        <w:t xml:space="preserve"> </w:t>
      </w:r>
      <w:r w:rsidRPr="001C37BB">
        <w:rPr>
          <w:color w:val="1D2228"/>
        </w:rPr>
        <w:t xml:space="preserve">‘pointing’ function within </w:t>
      </w:r>
      <w:r>
        <w:rPr>
          <w:color w:val="1D2228"/>
        </w:rPr>
        <w:t xml:space="preserve">the field of the </w:t>
      </w:r>
      <w:r w:rsidRPr="001C37BB">
        <w:rPr>
          <w:color w:val="1D2228"/>
        </w:rPr>
        <w:t>illustrat</w:t>
      </w:r>
      <w:r>
        <w:rPr>
          <w:color w:val="1D2228"/>
        </w:rPr>
        <w:t>ed page. A</w:t>
      </w:r>
      <w:r w:rsidRPr="001C37BB">
        <w:rPr>
          <w:color w:val="1D2228"/>
        </w:rPr>
        <w:t>lthough Humphrey</w:t>
      </w:r>
      <w:r>
        <w:rPr>
          <w:color w:val="1D2228"/>
        </w:rPr>
        <w:t>s</w:t>
      </w:r>
      <w:r w:rsidRPr="001C37BB">
        <w:rPr>
          <w:color w:val="1D2228"/>
        </w:rPr>
        <w:t xml:space="preserve"> </w:t>
      </w:r>
      <w:r w:rsidR="0078448C">
        <w:rPr>
          <w:color w:val="1D2228"/>
        </w:rPr>
        <w:t xml:space="preserve">and Kugler </w:t>
      </w:r>
      <w:r w:rsidRPr="001C37BB">
        <w:rPr>
          <w:color w:val="1D2228"/>
        </w:rPr>
        <w:t>were not present on the trawler or on the Thames</w:t>
      </w:r>
      <w:r>
        <w:rPr>
          <w:color w:val="1D2228"/>
        </w:rPr>
        <w:t xml:space="preserve"> that day</w:t>
      </w:r>
      <w:r w:rsidRPr="001C37BB">
        <w:rPr>
          <w:color w:val="1D2228"/>
        </w:rPr>
        <w:t xml:space="preserve">, the hand-rendered drawing and text </w:t>
      </w:r>
      <w:r w:rsidR="00A94B68">
        <w:rPr>
          <w:color w:val="1D2228"/>
        </w:rPr>
        <w:t>signify</w:t>
      </w:r>
      <w:r w:rsidR="0078448C">
        <w:rPr>
          <w:color w:val="1D2228"/>
        </w:rPr>
        <w:t xml:space="preserve"> the</w:t>
      </w:r>
      <w:r w:rsidR="00A94B68">
        <w:rPr>
          <w:color w:val="1D2228"/>
        </w:rPr>
        <w:t xml:space="preserve"> moment of the event through</w:t>
      </w:r>
      <w:r w:rsidRPr="001C37BB">
        <w:rPr>
          <w:color w:val="1D2228"/>
        </w:rPr>
        <w:t xml:space="preserve"> </w:t>
      </w:r>
      <w:r w:rsidR="00A94B68">
        <w:rPr>
          <w:color w:val="1D2228"/>
        </w:rPr>
        <w:t xml:space="preserve">interpretive marks </w:t>
      </w:r>
      <w:r w:rsidRPr="001C37BB">
        <w:rPr>
          <w:color w:val="1D2228"/>
        </w:rPr>
        <w:t>of artist and</w:t>
      </w:r>
      <w:r w:rsidR="00A94B68">
        <w:rPr>
          <w:color w:val="1D2228"/>
        </w:rPr>
        <w:t xml:space="preserve"> journalist</w:t>
      </w:r>
      <w:r w:rsidRPr="001C37BB">
        <w:rPr>
          <w:color w:val="1D2228"/>
        </w:rPr>
        <w:t>.</w:t>
      </w:r>
    </w:p>
    <w:p w14:paraId="2A367468" w14:textId="7E27812A" w:rsidR="007C5B65" w:rsidRPr="007C5B65" w:rsidRDefault="007C5B65" w:rsidP="001902DE">
      <w:pPr>
        <w:pStyle w:val="NormalWeb"/>
        <w:spacing w:before="0" w:beforeAutospacing="0" w:line="480" w:lineRule="auto"/>
        <w:ind w:firstLine="720"/>
      </w:pPr>
      <w:r>
        <w:rPr>
          <w:u w:val="single"/>
        </w:rPr>
        <w:t>The British fisherman as index to national identity</w:t>
      </w:r>
    </w:p>
    <w:p w14:paraId="7CDDACB5" w14:textId="48805C2B" w:rsidR="001902DE" w:rsidRDefault="001902DE" w:rsidP="00E807A4">
      <w:pPr>
        <w:pStyle w:val="NormalWeb"/>
        <w:spacing w:before="0" w:beforeAutospacing="0"/>
        <w:ind w:firstLine="720"/>
      </w:pPr>
      <w:r>
        <w:t xml:space="preserve">The British fisherman is an index to his nation. He is the figure of the territorialization of the seas, and of the continuity through successive generations of a standing on that </w:t>
      </w:r>
      <w:r>
        <w:lastRenderedPageBreak/>
        <w:t>territory.</w:t>
      </w:r>
      <w:r w:rsidR="004D336E">
        <w:rPr>
          <w:rStyle w:val="EndnoteReference"/>
        </w:rPr>
        <w:endnoteReference w:id="6"/>
      </w:r>
      <w:r>
        <w:t xml:space="preserve"> The landing of fish into British ports such as Grimsby and Peterhead </w:t>
      </w:r>
      <w:proofErr w:type="gramStart"/>
      <w:r>
        <w:t>taps</w:t>
      </w:r>
      <w:proofErr w:type="gramEnd"/>
      <w:r>
        <w:t xml:space="preserve"> deep into the national psyche and its relation to its shore: while fish are claimed as belonging to the land, immigrants are actively kept off the land. </w:t>
      </w:r>
      <w:r w:rsidR="000B7B43">
        <w:t>T</w:t>
      </w:r>
      <w:r>
        <w:t xml:space="preserve">he fish belong to Britain, and to no other land. The hard-working British fisherman became romanticized in the public discourse of the Brexit referendum, standing as the ‘true’ referent of the British nation.  Timothy Brennan underlines the rise of the modern working class as a primary component of national formation. ‘[Nationalism] necessarily invokes the “people”, although this people becomes, increasingly after the late nineteenth century, inseparable from the modern working class…’ (Brennan, </w:t>
      </w:r>
      <w:r w:rsidR="00C835FD">
        <w:t xml:space="preserve">1990, </w:t>
      </w:r>
      <w:r>
        <w:t xml:space="preserve">53) Brennan’s long citation of Bruce King </w:t>
      </w:r>
      <w:r w:rsidR="00FA5738">
        <w:t xml:space="preserve">resonates with </w:t>
      </w:r>
      <w:r>
        <w:t xml:space="preserve">the Brexit scenario </w:t>
      </w:r>
      <w:r w:rsidR="00985BFF">
        <w:t xml:space="preserve">explored </w:t>
      </w:r>
      <w:r w:rsidR="00FA5738">
        <w:t>in</w:t>
      </w:r>
      <w:r>
        <w:t xml:space="preserve"> Kugler and Humphrey’s research:</w:t>
      </w:r>
    </w:p>
    <w:p w14:paraId="5F37A47F" w14:textId="28A01287" w:rsidR="001902DE" w:rsidRPr="008A0CEB" w:rsidRDefault="001902DE" w:rsidP="00E807A4">
      <w:pPr>
        <w:pStyle w:val="NormalWeb"/>
        <w:spacing w:before="0" w:beforeAutospacing="0"/>
        <w:ind w:left="1440"/>
      </w:pPr>
      <w:r>
        <w:t>“Nationalism is an urban movement which identifies with the rural areas as a source of authenticity, finding in the ‘folk’ the attitudes, beliefs, customs and language to create a sense of national unity among people who have other loyalties. Nationalism aims at… rejection of cosmopolitan upper classes, intellectuals, and others likely to be influenced by foreign ideas.” (Brennan, 53, citing King, 1980, 42)</w:t>
      </w:r>
    </w:p>
    <w:p w14:paraId="7365FAF3" w14:textId="400D1D9A" w:rsidR="001902DE" w:rsidRDefault="001902DE" w:rsidP="00B75E9D">
      <w:pPr>
        <w:pStyle w:val="NormalWeb"/>
        <w:spacing w:before="0" w:beforeAutospacing="0" w:line="480" w:lineRule="auto"/>
      </w:pPr>
      <w:r>
        <w:t>The correspondence between King’s ‘cosmopolitan upper classes, intellectuals, and others likely to be influenced by foreign ideas’ and those who voted for and supported the choice</w:t>
      </w:r>
      <w:r>
        <w:rPr>
          <w:b/>
          <w:bCs/>
        </w:rPr>
        <w:t xml:space="preserve"> </w:t>
      </w:r>
      <w:r>
        <w:t xml:space="preserve">to Remain in the EU, is fairly straightforward, the Remain stance easily mapped onto the cosmopolitan, Europe-loving British middle class, while the romanticized working-class fisherman stands for the true British native.  But Humphreys </w:t>
      </w:r>
      <w:r w:rsidR="00492F16">
        <w:t xml:space="preserve">and Kugler </w:t>
      </w:r>
      <w:r>
        <w:t xml:space="preserve">challenge the simplicity of binary assumptions, presenting examples of fishermen who do not blame ‘foreign ideas’ for national problems. We encounter, for example, Grimsby fisherman Darren Kenyon, Skipper of the Sweetwater. (see figure </w:t>
      </w:r>
      <w:r w:rsidR="00492F16">
        <w:t>5</w:t>
      </w:r>
      <w:r>
        <w:t xml:space="preserve">) </w:t>
      </w:r>
      <w:r w:rsidR="00FD5785">
        <w:t xml:space="preserve"> </w:t>
      </w:r>
      <w:r>
        <w:t xml:space="preserve">Darren does not blame the EU for the </w:t>
      </w:r>
      <w:proofErr w:type="spellStart"/>
      <w:r>
        <w:t>fishermens</w:t>
      </w:r>
      <w:proofErr w:type="spellEnd"/>
      <w:r>
        <w:t>’ loss of territorial water rights</w:t>
      </w:r>
      <w:r w:rsidR="00C86E2E">
        <w:t>. H</w:t>
      </w:r>
      <w:r>
        <w:t>e sets the blame squarely, as shown in the illustrations and speech boxes, on the UK government’s selling off the fishing quota licences to Spain and other European countries.</w:t>
      </w:r>
      <w:r w:rsidR="00B564B6">
        <w:rPr>
          <w:rStyle w:val="EndnoteReference"/>
        </w:rPr>
        <w:endnoteReference w:id="7"/>
      </w:r>
      <w:r>
        <w:t xml:space="preserve"> </w:t>
      </w:r>
      <w:r w:rsidR="00B564B6">
        <w:t xml:space="preserve"> </w:t>
      </w:r>
      <w:r>
        <w:t>In another example, Humphreys</w:t>
      </w:r>
      <w:r w:rsidR="00C72F1E">
        <w:t xml:space="preserve"> and Kugler</w:t>
      </w:r>
      <w:r>
        <w:t xml:space="preserve"> depict and give voice to Andrew </w:t>
      </w:r>
      <w:proofErr w:type="spellStart"/>
      <w:r>
        <w:t>Duhie</w:t>
      </w:r>
      <w:proofErr w:type="spellEnd"/>
      <w:r>
        <w:t>, the lone trawlerman to vote to Remain in his Scottish fishing community of Peterhead.</w:t>
      </w:r>
      <w:r w:rsidR="00C72F1E">
        <w:t xml:space="preserve"> </w:t>
      </w:r>
      <w:proofErr w:type="spellStart"/>
      <w:r>
        <w:t>Duhie’s</w:t>
      </w:r>
      <w:proofErr w:type="spellEnd"/>
      <w:r>
        <w:t xml:space="preserve"> local nickname, ‘The Black Sheep of Peterhead’ attests to what Humphreys</w:t>
      </w:r>
      <w:r w:rsidR="00C72F1E">
        <w:t xml:space="preserve"> and Kugler</w:t>
      </w:r>
      <w:r>
        <w:t xml:space="preserve"> expose as the non-uniformity of the referent of even the term ‘British </w:t>
      </w:r>
      <w:proofErr w:type="gramStart"/>
      <w:r>
        <w:t>fisherman’</w:t>
      </w:r>
      <w:proofErr w:type="gramEnd"/>
    </w:p>
    <w:p w14:paraId="6D9CB0A6" w14:textId="311E4622" w:rsidR="004A01D0" w:rsidRDefault="00AF4AA7" w:rsidP="00C33FF4">
      <w:pPr>
        <w:pStyle w:val="NormalWeb"/>
        <w:spacing w:line="480" w:lineRule="auto"/>
        <w:ind w:firstLine="720"/>
      </w:pPr>
      <w:r>
        <w:lastRenderedPageBreak/>
        <w:t xml:space="preserve">The life stories depicted in </w:t>
      </w:r>
      <w:r w:rsidR="004A01D0">
        <w:rPr>
          <w:i/>
          <w:iCs/>
        </w:rPr>
        <w:t>The Great Fish &amp; Chips</w:t>
      </w:r>
      <w:r w:rsidR="004A01D0">
        <w:t xml:space="preserve"> </w:t>
      </w:r>
      <w:r>
        <w:t>act</w:t>
      </w:r>
      <w:r w:rsidR="004A01D0">
        <w:t xml:space="preserve"> as a counterpoint to the </w:t>
      </w:r>
      <w:r>
        <w:t>imagined ideal of</w:t>
      </w:r>
      <w:r w:rsidR="00092C3E">
        <w:t xml:space="preserve"> </w:t>
      </w:r>
      <w:r w:rsidR="004A01D0">
        <w:t xml:space="preserve">‘Britishness’ </w:t>
      </w:r>
      <w:r w:rsidR="003B7B1E">
        <w:t>as</w:t>
      </w:r>
      <w:r w:rsidR="004A01D0">
        <w:t xml:space="preserve"> homogenous, native culture. Humphreys’</w:t>
      </w:r>
      <w:r w:rsidR="00324327">
        <w:t xml:space="preserve"> and Kugler’s</w:t>
      </w:r>
      <w:r w:rsidR="00092C3E">
        <w:t xml:space="preserve"> portrayal </w:t>
      </w:r>
      <w:r w:rsidR="004A01D0">
        <w:t xml:space="preserve">of the production phases from sea to plate of </w:t>
      </w:r>
      <w:r w:rsidR="00D1706B">
        <w:t>fish and chips</w:t>
      </w:r>
      <w:r w:rsidR="004A01D0">
        <w:t xml:space="preserve"> reveals what is repressed from the final </w:t>
      </w:r>
      <w:r w:rsidR="00EE236E">
        <w:t xml:space="preserve">product - </w:t>
      </w:r>
      <w:r w:rsidR="004A01D0">
        <w:t xml:space="preserve">the actual diversity of </w:t>
      </w:r>
      <w:r w:rsidR="00C33FF4">
        <w:t xml:space="preserve">opinions and </w:t>
      </w:r>
      <w:r w:rsidR="004A01D0">
        <w:t>nationalities that amalgamate to form the dish. Kugler and Humphreys’ journey in deconstructing the British national dish reflects a Marxian insistence: the</w:t>
      </w:r>
      <w:r w:rsidR="00171C36">
        <w:t>ir</w:t>
      </w:r>
      <w:r w:rsidR="004A01D0">
        <w:t xml:space="preserve"> grounding of the commodity in its material determinants re-joins the commodity to </w:t>
      </w:r>
      <w:r w:rsidR="003D6090">
        <w:t>the</w:t>
      </w:r>
      <w:r w:rsidR="004A01D0">
        <w:t xml:space="preserve"> moorings from which it has been alienated, breaking down the fantasy aura around the commodity.</w:t>
      </w:r>
    </w:p>
    <w:p w14:paraId="6EBE783A" w14:textId="3377FA06" w:rsidR="006941C8" w:rsidRPr="006941C8" w:rsidRDefault="006941C8" w:rsidP="006941C8">
      <w:pPr>
        <w:pStyle w:val="NormalWeb"/>
        <w:spacing w:line="480" w:lineRule="auto"/>
      </w:pPr>
      <w:r>
        <w:rPr>
          <w:u w:val="single"/>
        </w:rPr>
        <w:t>Media specificity</w:t>
      </w:r>
      <w:r w:rsidR="00B44CBB">
        <w:rPr>
          <w:u w:val="single"/>
        </w:rPr>
        <w:t xml:space="preserve">: </w:t>
      </w:r>
      <w:r>
        <w:rPr>
          <w:u w:val="single"/>
        </w:rPr>
        <w:t>the art historical context</w:t>
      </w:r>
    </w:p>
    <w:p w14:paraId="6128D487" w14:textId="075FB595" w:rsidR="00BE2730" w:rsidRDefault="007058C0" w:rsidP="00015A76">
      <w:pPr>
        <w:pStyle w:val="NormalWeb"/>
        <w:spacing w:before="0" w:beforeAutospacing="0"/>
        <w:ind w:firstLine="720"/>
        <w:rPr>
          <w:color w:val="000000" w:themeColor="text1"/>
        </w:rPr>
      </w:pPr>
      <w:r w:rsidRPr="00F37497">
        <w:rPr>
          <w:color w:val="000000" w:themeColor="text1"/>
        </w:rPr>
        <w:t xml:space="preserve">The reportage practices which ‘materialize’ the commodity in </w:t>
      </w:r>
      <w:r w:rsidRPr="00F37497">
        <w:rPr>
          <w:i/>
          <w:iCs/>
          <w:color w:val="000000" w:themeColor="text1"/>
        </w:rPr>
        <w:t>The Great Fish &amp; Chips</w:t>
      </w:r>
      <w:r w:rsidRPr="00F37497">
        <w:rPr>
          <w:color w:val="000000" w:themeColor="text1"/>
        </w:rPr>
        <w:t xml:space="preserve"> </w:t>
      </w:r>
      <w:r w:rsidR="00876B3D" w:rsidRPr="00F37497">
        <w:rPr>
          <w:color w:val="000000" w:themeColor="text1"/>
        </w:rPr>
        <w:t>recall an insistence upon historicity that Mary Ann Doane noted in her important essay, ‘The Indexical and the Concept of Medium Specificity’</w:t>
      </w:r>
      <w:r w:rsidR="005F0ACF">
        <w:rPr>
          <w:color w:val="000000" w:themeColor="text1"/>
        </w:rPr>
        <w:t xml:space="preserve"> (2007), </w:t>
      </w:r>
      <w:r w:rsidR="00923072" w:rsidRPr="00F37497">
        <w:rPr>
          <w:color w:val="000000" w:themeColor="text1"/>
        </w:rPr>
        <w:t xml:space="preserve">in which </w:t>
      </w:r>
      <w:r w:rsidR="00F926C9">
        <w:rPr>
          <w:color w:val="000000" w:themeColor="text1"/>
        </w:rPr>
        <w:t xml:space="preserve">she </w:t>
      </w:r>
      <w:r w:rsidR="00A75D59" w:rsidRPr="00F37497">
        <w:rPr>
          <w:color w:val="000000" w:themeColor="text1"/>
        </w:rPr>
        <w:t xml:space="preserve">looks at </w:t>
      </w:r>
      <w:r w:rsidR="00D173C2" w:rsidRPr="00F37497">
        <w:rPr>
          <w:color w:val="000000" w:themeColor="text1"/>
        </w:rPr>
        <w:t>Structuralist filmmakers of the 1970s</w:t>
      </w:r>
      <w:r w:rsidR="00D173C2">
        <w:rPr>
          <w:color w:val="000000" w:themeColor="text1"/>
        </w:rPr>
        <w:t xml:space="preserve"> whose work </w:t>
      </w:r>
      <w:r w:rsidR="00A75D59" w:rsidRPr="00F37497">
        <w:rPr>
          <w:color w:val="000000" w:themeColor="text1"/>
        </w:rPr>
        <w:t xml:space="preserve">contemplates the accelerating waning of </w:t>
      </w:r>
      <w:r w:rsidR="00BA2E48">
        <w:rPr>
          <w:color w:val="000000" w:themeColor="text1"/>
        </w:rPr>
        <w:t xml:space="preserve">celluloid </w:t>
      </w:r>
      <w:r w:rsidR="0018099A">
        <w:rPr>
          <w:color w:val="000000" w:themeColor="text1"/>
        </w:rPr>
        <w:t>in</w:t>
      </w:r>
      <w:r w:rsidR="00A75D59" w:rsidRPr="00F37497">
        <w:rPr>
          <w:color w:val="000000" w:themeColor="text1"/>
        </w:rPr>
        <w:t xml:space="preserve"> the advent of digital media. The art historical concern of ‘media specificity’ </w:t>
      </w:r>
      <w:proofErr w:type="spellStart"/>
      <w:r w:rsidR="00100C11">
        <w:rPr>
          <w:color w:val="000000" w:themeColor="text1"/>
        </w:rPr>
        <w:t>corrolates</w:t>
      </w:r>
      <w:proofErr w:type="spellEnd"/>
      <w:r w:rsidR="00EF7B83" w:rsidRPr="00F37497">
        <w:rPr>
          <w:color w:val="000000" w:themeColor="text1"/>
        </w:rPr>
        <w:t xml:space="preserve"> with graphic reportage practices such as </w:t>
      </w:r>
      <w:r w:rsidR="00EF7B83" w:rsidRPr="00F37497">
        <w:rPr>
          <w:i/>
          <w:iCs/>
          <w:color w:val="000000" w:themeColor="text1"/>
        </w:rPr>
        <w:t>The Great Fish &amp; Chips</w:t>
      </w:r>
      <w:r w:rsidR="00EF7B83" w:rsidRPr="00F37497">
        <w:rPr>
          <w:color w:val="000000" w:themeColor="text1"/>
        </w:rPr>
        <w:t xml:space="preserve">.  </w:t>
      </w:r>
      <w:r w:rsidR="00762EA5">
        <w:rPr>
          <w:color w:val="000000" w:themeColor="text1"/>
        </w:rPr>
        <w:t>Doane weaves art historian</w:t>
      </w:r>
      <w:r w:rsidR="00EF7B83" w:rsidRPr="00F37497">
        <w:rPr>
          <w:color w:val="000000" w:themeColor="text1"/>
        </w:rPr>
        <w:t xml:space="preserve"> Rosalind Krauss’s </w:t>
      </w:r>
      <w:r w:rsidR="00762EA5">
        <w:rPr>
          <w:color w:val="000000" w:themeColor="text1"/>
        </w:rPr>
        <w:t>theory of</w:t>
      </w:r>
      <w:r w:rsidR="00EF7B83" w:rsidRPr="00F37497">
        <w:rPr>
          <w:color w:val="000000" w:themeColor="text1"/>
        </w:rPr>
        <w:t xml:space="preserve"> </w:t>
      </w:r>
      <w:r w:rsidR="00762EA5" w:rsidRPr="00762EA5">
        <w:rPr>
          <w:i/>
          <w:iCs/>
          <w:color w:val="000000" w:themeColor="text1"/>
        </w:rPr>
        <w:t>medium</w:t>
      </w:r>
      <w:r w:rsidR="00762EA5">
        <w:rPr>
          <w:color w:val="000000" w:themeColor="text1"/>
        </w:rPr>
        <w:t xml:space="preserve"> </w:t>
      </w:r>
      <w:r w:rsidR="00C729D7">
        <w:rPr>
          <w:color w:val="000000" w:themeColor="text1"/>
        </w:rPr>
        <w:t xml:space="preserve">into </w:t>
      </w:r>
      <w:r w:rsidR="00EF7B83" w:rsidRPr="00F37497">
        <w:rPr>
          <w:color w:val="000000" w:themeColor="text1"/>
        </w:rPr>
        <w:t>her own observations</w:t>
      </w:r>
      <w:r w:rsidR="00762EA5">
        <w:rPr>
          <w:color w:val="000000" w:themeColor="text1"/>
        </w:rPr>
        <w:t xml:space="preserve"> on medium specificity</w:t>
      </w:r>
      <w:r w:rsidR="00EF7B83" w:rsidRPr="00F37497">
        <w:rPr>
          <w:color w:val="000000" w:themeColor="text1"/>
        </w:rPr>
        <w:t>:</w:t>
      </w:r>
    </w:p>
    <w:p w14:paraId="2C304BB0" w14:textId="6EFFA9FA" w:rsidR="00EF7B83" w:rsidRPr="00F37497" w:rsidRDefault="007C051C" w:rsidP="00015A76">
      <w:pPr>
        <w:pStyle w:val="NormalWeb"/>
        <w:spacing w:before="0" w:beforeAutospacing="0"/>
        <w:ind w:left="720"/>
        <w:rPr>
          <w:color w:val="000000" w:themeColor="text1"/>
        </w:rPr>
      </w:pPr>
      <w:r w:rsidRPr="00F37497">
        <w:rPr>
          <w:color w:val="000000" w:themeColor="text1"/>
        </w:rPr>
        <w:t>Medium specificity names the crucial recursiveness of that structure that is a medium: ‘For, in order to sustain artistic practice, a medium must be a supporting structure, generative of a set of conventions, some of which, in assuming the medium itself as their subject, will be wholly “specific” to it, thus producing an</w:t>
      </w:r>
      <w:r w:rsidR="00C41200" w:rsidRPr="00F37497">
        <w:rPr>
          <w:color w:val="000000" w:themeColor="text1"/>
        </w:rPr>
        <w:t xml:space="preserve"> e</w:t>
      </w:r>
      <w:r w:rsidRPr="00F37497">
        <w:rPr>
          <w:color w:val="000000" w:themeColor="text1"/>
        </w:rPr>
        <w:t>xperience of their own necessity’ (</w:t>
      </w:r>
      <w:r w:rsidRPr="00F37497">
        <w:rPr>
          <w:i/>
          <w:iCs/>
          <w:color w:val="000000" w:themeColor="text1"/>
        </w:rPr>
        <w:t>Voy</w:t>
      </w:r>
      <w:r w:rsidR="00C41200" w:rsidRPr="00F37497">
        <w:rPr>
          <w:i/>
          <w:iCs/>
          <w:color w:val="000000" w:themeColor="text1"/>
        </w:rPr>
        <w:t>a</w:t>
      </w:r>
      <w:r w:rsidRPr="00F37497">
        <w:rPr>
          <w:i/>
          <w:iCs/>
          <w:color w:val="000000" w:themeColor="text1"/>
        </w:rPr>
        <w:t>ge</w:t>
      </w:r>
      <w:r w:rsidR="00A60DA2" w:rsidRPr="00F37497">
        <w:rPr>
          <w:i/>
          <w:iCs/>
          <w:color w:val="000000" w:themeColor="text1"/>
        </w:rPr>
        <w:t xml:space="preserve"> </w:t>
      </w:r>
      <w:r w:rsidRPr="00F37497">
        <w:rPr>
          <w:color w:val="000000" w:themeColor="text1"/>
        </w:rPr>
        <w:t>26)</w:t>
      </w:r>
      <w:r w:rsidR="00A60DA2" w:rsidRPr="00F37497">
        <w:rPr>
          <w:color w:val="000000" w:themeColor="text1"/>
        </w:rPr>
        <w:t xml:space="preserve">. </w:t>
      </w:r>
      <w:r w:rsidRPr="00F37497">
        <w:rPr>
          <w:color w:val="000000" w:themeColor="text1"/>
        </w:rPr>
        <w:t>This is a restricted specificity that takes the individual work and its act</w:t>
      </w:r>
      <w:r w:rsidR="00A60DA2" w:rsidRPr="00F37497">
        <w:rPr>
          <w:color w:val="000000" w:themeColor="text1"/>
        </w:rPr>
        <w:t>i</w:t>
      </w:r>
      <w:r w:rsidRPr="00F37497">
        <w:rPr>
          <w:color w:val="000000" w:themeColor="text1"/>
        </w:rPr>
        <w:t xml:space="preserve">vation of </w:t>
      </w:r>
      <w:proofErr w:type="gramStart"/>
      <w:r w:rsidRPr="00F37497">
        <w:rPr>
          <w:color w:val="000000" w:themeColor="text1"/>
        </w:rPr>
        <w:t>particular conventions</w:t>
      </w:r>
      <w:proofErr w:type="gramEnd"/>
      <w:r w:rsidRPr="00F37497">
        <w:rPr>
          <w:color w:val="000000" w:themeColor="text1"/>
        </w:rPr>
        <w:t xml:space="preserve"> as its point of dep</w:t>
      </w:r>
      <w:r w:rsidR="00A60DA2" w:rsidRPr="00F37497">
        <w:rPr>
          <w:color w:val="000000" w:themeColor="text1"/>
        </w:rPr>
        <w:t>ar</w:t>
      </w:r>
      <w:r w:rsidRPr="00F37497">
        <w:rPr>
          <w:color w:val="000000" w:themeColor="text1"/>
        </w:rPr>
        <w:t xml:space="preserve">ture, and not the medium itself. Those works that can be labelled </w:t>
      </w:r>
      <w:r w:rsidR="00A60DA2" w:rsidRPr="00F37497">
        <w:rPr>
          <w:color w:val="000000" w:themeColor="text1"/>
        </w:rPr>
        <w:t>“</w:t>
      </w:r>
      <w:r w:rsidRPr="00F37497">
        <w:rPr>
          <w:color w:val="000000" w:themeColor="text1"/>
        </w:rPr>
        <w:t>medium specific</w:t>
      </w:r>
      <w:r w:rsidR="00A60DA2" w:rsidRPr="00F37497">
        <w:rPr>
          <w:color w:val="000000" w:themeColor="text1"/>
        </w:rPr>
        <w:t>”</w:t>
      </w:r>
      <w:r w:rsidRPr="00F37497">
        <w:rPr>
          <w:color w:val="000000" w:themeColor="text1"/>
        </w:rPr>
        <w:t xml:space="preserve"> are those reiterating and reconfirming the constra</w:t>
      </w:r>
      <w:r w:rsidR="00A60DA2" w:rsidRPr="00F37497">
        <w:rPr>
          <w:color w:val="000000" w:themeColor="text1"/>
        </w:rPr>
        <w:t>i</w:t>
      </w:r>
      <w:r w:rsidRPr="00F37497">
        <w:rPr>
          <w:color w:val="000000" w:themeColor="text1"/>
        </w:rPr>
        <w:t>nts of their material support. (Doane, 2007, 131)</w:t>
      </w:r>
    </w:p>
    <w:p w14:paraId="0BE40774" w14:textId="13B02648" w:rsidR="00DA70F1" w:rsidRPr="00BA2E48" w:rsidRDefault="00C41200" w:rsidP="004E7337">
      <w:pPr>
        <w:pStyle w:val="NormalWeb"/>
        <w:spacing w:before="0" w:beforeAutospacing="0" w:line="480" w:lineRule="auto"/>
        <w:rPr>
          <w:color w:val="000000" w:themeColor="text1"/>
        </w:rPr>
      </w:pPr>
      <w:r w:rsidRPr="00C916A9">
        <w:rPr>
          <w:color w:val="000000" w:themeColor="text1"/>
        </w:rPr>
        <w:t>Doane then explains that thi</w:t>
      </w:r>
      <w:r w:rsidR="00717ED9" w:rsidRPr="00C916A9">
        <w:rPr>
          <w:color w:val="000000" w:themeColor="text1"/>
        </w:rPr>
        <w:t>s focus on media specificity ‘excluded notions of representation, of iconicity, of the illusion of the real’ (Doane, 2007, 132)</w:t>
      </w:r>
      <w:r w:rsidR="00982D06" w:rsidRPr="00C916A9">
        <w:rPr>
          <w:color w:val="000000" w:themeColor="text1"/>
        </w:rPr>
        <w:t xml:space="preserve">, </w:t>
      </w:r>
      <w:r w:rsidR="00982D06" w:rsidRPr="00BA2E48">
        <w:rPr>
          <w:color w:val="000000" w:themeColor="text1"/>
        </w:rPr>
        <w:t>comprising a ‘Structuralist-Materialist’ approach to film that had a direct connection to the methods of Marxist materialism. (Doane, 2007, 132)</w:t>
      </w:r>
      <w:r w:rsidR="004E3BF2" w:rsidRPr="00BA2E48">
        <w:rPr>
          <w:color w:val="000000" w:themeColor="text1"/>
        </w:rPr>
        <w:t xml:space="preserve"> Doane also focuses on the </w:t>
      </w:r>
      <w:r w:rsidR="004E3BF2" w:rsidRPr="00BA2E48">
        <w:rPr>
          <w:i/>
          <w:iCs/>
          <w:color w:val="000000" w:themeColor="text1"/>
        </w:rPr>
        <w:t xml:space="preserve">historicity </w:t>
      </w:r>
      <w:r w:rsidR="004E3BF2" w:rsidRPr="00BA2E48">
        <w:rPr>
          <w:color w:val="000000" w:themeColor="text1"/>
        </w:rPr>
        <w:t>of medium specificity, which I want to suggest is another iteration of the presence</w:t>
      </w:r>
      <w:r w:rsidR="00DA70F1" w:rsidRPr="00BA2E48">
        <w:rPr>
          <w:color w:val="000000" w:themeColor="text1"/>
        </w:rPr>
        <w:t xml:space="preserve"> in specific time and place that is</w:t>
      </w:r>
      <w:r w:rsidR="004E3BF2" w:rsidRPr="00BA2E48">
        <w:rPr>
          <w:color w:val="000000" w:themeColor="text1"/>
        </w:rPr>
        <w:t xml:space="preserve"> so central to site-based graphic reportage.</w:t>
      </w:r>
      <w:r w:rsidR="00DA70F1" w:rsidRPr="00BA2E48">
        <w:rPr>
          <w:color w:val="000000" w:themeColor="text1"/>
        </w:rPr>
        <w:t xml:space="preserve"> Like the </w:t>
      </w:r>
      <w:r w:rsidR="004E3BF2" w:rsidRPr="00BA2E48">
        <w:rPr>
          <w:color w:val="000000" w:themeColor="text1"/>
        </w:rPr>
        <w:t xml:space="preserve">Marxist </w:t>
      </w:r>
      <w:r w:rsidR="00DA70F1" w:rsidRPr="00BA2E48">
        <w:rPr>
          <w:color w:val="000000" w:themeColor="text1"/>
        </w:rPr>
        <w:t xml:space="preserve">determinations of historicity </w:t>
      </w:r>
      <w:r w:rsidR="00DA70F1" w:rsidRPr="00BA2E48">
        <w:rPr>
          <w:color w:val="000000" w:themeColor="text1"/>
        </w:rPr>
        <w:lastRenderedPageBreak/>
        <w:t xml:space="preserve">which are deployed as tools for breaking up </w:t>
      </w:r>
      <w:r w:rsidR="008B4481">
        <w:rPr>
          <w:color w:val="000000" w:themeColor="text1"/>
        </w:rPr>
        <w:t xml:space="preserve">the </w:t>
      </w:r>
      <w:r w:rsidR="00457290">
        <w:rPr>
          <w:color w:val="000000" w:themeColor="text1"/>
        </w:rPr>
        <w:t>abstract</w:t>
      </w:r>
      <w:r w:rsidR="008B4481">
        <w:rPr>
          <w:color w:val="000000" w:themeColor="text1"/>
        </w:rPr>
        <w:t>ion of</w:t>
      </w:r>
      <w:r w:rsidR="00457290">
        <w:rPr>
          <w:color w:val="000000" w:themeColor="text1"/>
        </w:rPr>
        <w:t xml:space="preserve"> bourgeois </w:t>
      </w:r>
      <w:r w:rsidR="00DA70F1" w:rsidRPr="00BA2E48">
        <w:rPr>
          <w:color w:val="000000" w:themeColor="text1"/>
        </w:rPr>
        <w:t xml:space="preserve">myth, the approaches taken by Humphreys and Kugler arguably embrace historicity to forge a wedge into otherwise mythic formations of British identity. </w:t>
      </w:r>
    </w:p>
    <w:p w14:paraId="431B3C21" w14:textId="7ADE14B2" w:rsidR="004456FE" w:rsidRPr="00BA2E48" w:rsidRDefault="00276F2B" w:rsidP="007C49EF">
      <w:pPr>
        <w:pStyle w:val="NormalWeb"/>
        <w:spacing w:before="0" w:beforeAutospacing="0" w:line="480" w:lineRule="auto"/>
        <w:rPr>
          <w:color w:val="ED7D31" w:themeColor="accent2"/>
          <w:u w:val="single"/>
        </w:rPr>
      </w:pPr>
      <w:r w:rsidRPr="00BA2E48">
        <w:rPr>
          <w:color w:val="242424"/>
          <w:u w:val="single"/>
        </w:rPr>
        <w:t>The Semiotic Register; introduction to the Index: i</w:t>
      </w:r>
      <w:r w:rsidR="004D11D1" w:rsidRPr="00BA2E48">
        <w:rPr>
          <w:color w:val="242424"/>
          <w:u w:val="single"/>
        </w:rPr>
        <w:t>nscribing real life</w:t>
      </w:r>
      <w:r w:rsidRPr="00BA2E48">
        <w:rPr>
          <w:color w:val="242424"/>
          <w:u w:val="single"/>
        </w:rPr>
        <w:t xml:space="preserve"> through</w:t>
      </w:r>
      <w:r w:rsidR="004D11D1" w:rsidRPr="00BA2E48">
        <w:rPr>
          <w:color w:val="242424"/>
          <w:u w:val="single"/>
        </w:rPr>
        <w:t xml:space="preserve"> material marks of a historical</w:t>
      </w:r>
      <w:r w:rsidR="000749D7" w:rsidRPr="00BA2E48">
        <w:rPr>
          <w:color w:val="242424"/>
          <w:u w:val="single"/>
        </w:rPr>
        <w:t xml:space="preserve"> </w:t>
      </w:r>
      <w:proofErr w:type="gramStart"/>
      <w:r w:rsidR="000749D7" w:rsidRPr="00BA2E48">
        <w:rPr>
          <w:color w:val="242424"/>
          <w:u w:val="single"/>
        </w:rPr>
        <w:t>moment</w:t>
      </w:r>
      <w:proofErr w:type="gramEnd"/>
      <w:r w:rsidR="000749D7" w:rsidRPr="00BA2E48">
        <w:rPr>
          <w:color w:val="242424"/>
          <w:u w:val="single"/>
        </w:rPr>
        <w:t xml:space="preserve"> </w:t>
      </w:r>
      <w:r w:rsidRPr="00BA2E48">
        <w:rPr>
          <w:color w:val="000000" w:themeColor="text1"/>
          <w:u w:val="single"/>
        </w:rPr>
        <w:t xml:space="preserve"> </w:t>
      </w:r>
    </w:p>
    <w:p w14:paraId="5180E6A2" w14:textId="42F8123A" w:rsidR="00F075AE" w:rsidRPr="00CF36CF" w:rsidRDefault="004D11D1" w:rsidP="00CF36CF">
      <w:pPr>
        <w:pStyle w:val="NormalWeb"/>
        <w:spacing w:before="0" w:beforeAutospacing="0" w:line="480" w:lineRule="auto"/>
        <w:ind w:firstLine="720"/>
      </w:pPr>
      <w:r w:rsidRPr="00BA2E48">
        <w:rPr>
          <w:color w:val="242424"/>
        </w:rPr>
        <w:t>Humphreys’ and Kugler’s work</w:t>
      </w:r>
      <w:r w:rsidR="005B1A61">
        <w:rPr>
          <w:color w:val="242424"/>
        </w:rPr>
        <w:t xml:space="preserve"> </w:t>
      </w:r>
      <w:proofErr w:type="gramStart"/>
      <w:r w:rsidRPr="00BA2E48">
        <w:rPr>
          <w:color w:val="242424"/>
        </w:rPr>
        <w:t>communicates</w:t>
      </w:r>
      <w:proofErr w:type="gramEnd"/>
      <w:r w:rsidRPr="00BA2E48">
        <w:rPr>
          <w:color w:val="242424"/>
        </w:rPr>
        <w:t xml:space="preserve"> to its audiences through a</w:t>
      </w:r>
      <w:r w:rsidR="00487F2E">
        <w:rPr>
          <w:color w:val="242424"/>
        </w:rPr>
        <w:t xml:space="preserve"> </w:t>
      </w:r>
      <w:r w:rsidRPr="00BA2E48">
        <w:rPr>
          <w:color w:val="242424"/>
        </w:rPr>
        <w:t>transcriptive process of moments in time and place as writer and illustrator capture the actual words and appearances of individual</w:t>
      </w:r>
      <w:r w:rsidR="00BA6EBA">
        <w:rPr>
          <w:color w:val="242424"/>
        </w:rPr>
        <w:t>s and their</w:t>
      </w:r>
      <w:r w:rsidRPr="00BA2E48">
        <w:rPr>
          <w:color w:val="242424"/>
        </w:rPr>
        <w:t xml:space="preserve"> </w:t>
      </w:r>
      <w:r w:rsidR="005B1A61">
        <w:rPr>
          <w:color w:val="242424"/>
        </w:rPr>
        <w:t>locations</w:t>
      </w:r>
      <w:r w:rsidRPr="00BA2E48">
        <w:rPr>
          <w:color w:val="242424"/>
        </w:rPr>
        <w:t>.</w:t>
      </w:r>
      <w:r>
        <w:rPr>
          <w:color w:val="242424"/>
          <w:sz w:val="23"/>
          <w:szCs w:val="23"/>
        </w:rPr>
        <w:t xml:space="preserve"> </w:t>
      </w:r>
      <w:r w:rsidR="003B50AD">
        <w:rPr>
          <w:color w:val="242424"/>
          <w:sz w:val="23"/>
          <w:szCs w:val="23"/>
        </w:rPr>
        <w:t>N</w:t>
      </w:r>
      <w:r>
        <w:rPr>
          <w:color w:val="242424"/>
          <w:sz w:val="23"/>
          <w:szCs w:val="23"/>
        </w:rPr>
        <w:t xml:space="preserve">otions </w:t>
      </w:r>
      <w:r w:rsidRPr="003B50AD">
        <w:rPr>
          <w:color w:val="242424"/>
          <w:sz w:val="23"/>
          <w:szCs w:val="23"/>
        </w:rPr>
        <w:t xml:space="preserve">of </w:t>
      </w:r>
      <w:r w:rsidR="003D37B7" w:rsidRPr="003B50AD">
        <w:t>immigration, cultural identity, t</w:t>
      </w:r>
      <w:r w:rsidRPr="003B50AD">
        <w:t>rade</w:t>
      </w:r>
      <w:r w:rsidR="003D37B7" w:rsidRPr="003B50AD">
        <w:t xml:space="preserve"> economics</w:t>
      </w:r>
      <w:r w:rsidR="003B50AD" w:rsidRPr="003B50AD">
        <w:t>, and debates</w:t>
      </w:r>
      <w:r w:rsidR="003B50AD">
        <w:t xml:space="preserve"> about</w:t>
      </w:r>
      <w:r w:rsidR="003B50AD" w:rsidRPr="003B50AD">
        <w:t xml:space="preserve"> </w:t>
      </w:r>
      <w:r w:rsidR="003D37B7" w:rsidRPr="003B50AD">
        <w:t>the growth and decline of industrial Britain</w:t>
      </w:r>
      <w:r w:rsidR="003B50AD">
        <w:t>,</w:t>
      </w:r>
      <w:r w:rsidR="003B50AD" w:rsidRPr="003B50AD">
        <w:t xml:space="preserve"> are grounded in </w:t>
      </w:r>
      <w:r w:rsidR="00E15EC8">
        <w:t>individual stories</w:t>
      </w:r>
      <w:r w:rsidR="003B50AD" w:rsidRPr="003B50AD">
        <w:t xml:space="preserve"> in order to counteract </w:t>
      </w:r>
      <w:r w:rsidR="000C4792">
        <w:t>the</w:t>
      </w:r>
      <w:r w:rsidR="003B50AD" w:rsidRPr="003B50AD">
        <w:t xml:space="preserve"> abstraction of these issues. </w:t>
      </w:r>
      <w:r w:rsidR="00A9504B">
        <w:t xml:space="preserve">The discursivity of semiotic forces in the Brexit debate </w:t>
      </w:r>
      <w:r w:rsidR="004A063E">
        <w:t xml:space="preserve">brought forth in </w:t>
      </w:r>
      <w:r w:rsidR="00A9504B">
        <w:rPr>
          <w:i/>
          <w:iCs/>
        </w:rPr>
        <w:t>The Great Fish &amp; Chips</w:t>
      </w:r>
      <w:r w:rsidR="00A9504B">
        <w:t xml:space="preserve"> speaks to a politics of representation as well as to a representation of politic</w:t>
      </w:r>
      <w:r w:rsidR="00A010F4">
        <w:t>s</w:t>
      </w:r>
      <w:r w:rsidR="00A9504B">
        <w:t xml:space="preserve">. </w:t>
      </w:r>
      <w:r w:rsidR="00C47967">
        <w:t xml:space="preserve"> </w:t>
      </w:r>
      <w:r w:rsidR="003B50AD">
        <w:t xml:space="preserve">In this section, I consider the acts of transcription in the graphic reportage of Humphreys and Kugler on </w:t>
      </w:r>
      <w:r w:rsidR="00F4077D">
        <w:t>the semiotic register</w:t>
      </w:r>
      <w:proofErr w:type="gramStart"/>
      <w:r w:rsidR="003B50AD">
        <w:t>, in particular, in</w:t>
      </w:r>
      <w:proofErr w:type="gramEnd"/>
      <w:r w:rsidR="003B50AD">
        <w:t xml:space="preserve"> light of </w:t>
      </w:r>
      <w:r w:rsidR="003B50AD">
        <w:rPr>
          <w:i/>
          <w:iCs/>
        </w:rPr>
        <w:t xml:space="preserve">indexical </w:t>
      </w:r>
      <w:r w:rsidR="003B50AD">
        <w:t>signification</w:t>
      </w:r>
      <w:r w:rsidR="007A13E4">
        <w:t xml:space="preserve">, as elaborated </w:t>
      </w:r>
      <w:r w:rsidR="00776493">
        <w:t xml:space="preserve">by </w:t>
      </w:r>
      <w:r w:rsidR="007A13E4">
        <w:t>Peirce, and, more recently, by Krauss</w:t>
      </w:r>
      <w:r w:rsidR="00F4077D">
        <w:t xml:space="preserve"> (1977)</w:t>
      </w:r>
      <w:r w:rsidR="00C278F6">
        <w:t xml:space="preserve"> and </w:t>
      </w:r>
      <w:r w:rsidR="00C278F6">
        <w:rPr>
          <w:color w:val="000000" w:themeColor="text1"/>
        </w:rPr>
        <w:t>Doane</w:t>
      </w:r>
      <w:r w:rsidR="00F4077D">
        <w:rPr>
          <w:color w:val="000000" w:themeColor="text1"/>
        </w:rPr>
        <w:t xml:space="preserve"> (2007)</w:t>
      </w:r>
      <w:r w:rsidR="00C278F6">
        <w:rPr>
          <w:color w:val="000000" w:themeColor="text1"/>
        </w:rPr>
        <w:t>.</w:t>
      </w:r>
      <w:r w:rsidR="00C278F6">
        <w:rPr>
          <w:color w:val="ED7D31" w:themeColor="accent2"/>
        </w:rPr>
        <w:t xml:space="preserve"> </w:t>
      </w:r>
      <w:r w:rsidR="007A13E4">
        <w:t xml:space="preserve">The critical insights delivered by </w:t>
      </w:r>
      <w:r w:rsidR="003F3F65">
        <w:t xml:space="preserve">Krauss, followed by </w:t>
      </w:r>
      <w:r w:rsidR="007A13E4">
        <w:t>Doane</w:t>
      </w:r>
      <w:r w:rsidR="00A23064">
        <w:t>,</w:t>
      </w:r>
      <w:r w:rsidR="007A13E4">
        <w:t xml:space="preserve"> unpack </w:t>
      </w:r>
      <w:r w:rsidR="00533DD8">
        <w:t>how</w:t>
      </w:r>
      <w:r w:rsidR="00DB3935">
        <w:t xml:space="preserve"> the framework of the </w:t>
      </w:r>
      <w:r w:rsidR="007A13E4">
        <w:t>Index contribut</w:t>
      </w:r>
      <w:r w:rsidR="00DB3935">
        <w:t>es</w:t>
      </w:r>
      <w:r w:rsidR="007A13E4">
        <w:t xml:space="preserve"> </w:t>
      </w:r>
      <w:r w:rsidR="00533DD8">
        <w:t xml:space="preserve">to </w:t>
      </w:r>
      <w:r w:rsidR="007A13E4">
        <w:t xml:space="preserve">aesthetic and semiotic </w:t>
      </w:r>
      <w:r w:rsidR="00A9504B">
        <w:t>comportments</w:t>
      </w:r>
      <w:r w:rsidR="007A13E4">
        <w:t xml:space="preserve">. </w:t>
      </w:r>
      <w:r w:rsidR="003F3F65">
        <w:t xml:space="preserve">Together, </w:t>
      </w:r>
      <w:r w:rsidR="0010274C">
        <w:t xml:space="preserve">Krauss and Doane’s </w:t>
      </w:r>
      <w:r w:rsidR="00F27E10">
        <w:t xml:space="preserve">groundbreaking explications of Peirce’s figure of the Index serve here as a pathway for understanding the centrality of indexical forces to reportage illustration and to illustration </w:t>
      </w:r>
      <w:r w:rsidR="00D9270D">
        <w:t>more broadly</w:t>
      </w:r>
      <w:r w:rsidR="00F27E10">
        <w:t xml:space="preserve"> as a mode of communication. </w:t>
      </w:r>
    </w:p>
    <w:p w14:paraId="251D8E82" w14:textId="77777777" w:rsidR="00B60F69" w:rsidRDefault="00EA5706" w:rsidP="00B85BE1">
      <w:pPr>
        <w:pStyle w:val="NormalWeb"/>
        <w:spacing w:before="0" w:beforeAutospacing="0" w:line="480" w:lineRule="auto"/>
        <w:ind w:firstLine="720"/>
        <w:rPr>
          <w:color w:val="000000" w:themeColor="text1"/>
        </w:rPr>
      </w:pPr>
      <w:r>
        <w:t xml:space="preserve">The grounding in ‘real’ people and places in </w:t>
      </w:r>
      <w:r w:rsidR="00F60BB6">
        <w:t>H</w:t>
      </w:r>
      <w:r w:rsidR="007058C0">
        <w:t>u</w:t>
      </w:r>
      <w:r w:rsidR="00F60BB6">
        <w:t xml:space="preserve">mphreys’ and Kugler’s </w:t>
      </w:r>
      <w:r>
        <w:t xml:space="preserve">practices not only breaks the alienation from the </w:t>
      </w:r>
      <w:r w:rsidR="00F60BB6">
        <w:t>invisible</w:t>
      </w:r>
      <w:r>
        <w:t xml:space="preserve"> product</w:t>
      </w:r>
      <w:r w:rsidR="003F3F65">
        <w:t>ion</w:t>
      </w:r>
      <w:r w:rsidR="00787578">
        <w:t xml:space="preserve"> </w:t>
      </w:r>
      <w:r>
        <w:t>behind the commodity Fish &amp; Chips; it also</w:t>
      </w:r>
      <w:r w:rsidR="00787578">
        <w:t xml:space="preserve"> </w:t>
      </w:r>
      <w:r>
        <w:t>ret</w:t>
      </w:r>
      <w:r w:rsidR="00787578">
        <w:t>ains</w:t>
      </w:r>
      <w:r>
        <w:t xml:space="preserve"> traces of reality, rather than operating purely within the realm of representation.  The quoted words inscribed by hand in the speech bubbles of the spreads</w:t>
      </w:r>
      <w:r w:rsidR="003F3F65">
        <w:t>,</w:t>
      </w:r>
      <w:r w:rsidR="00051AC0">
        <w:t xml:space="preserve"> and</w:t>
      </w:r>
      <w:r>
        <w:t xml:space="preserve"> the hand-</w:t>
      </w:r>
      <w:r>
        <w:lastRenderedPageBreak/>
        <w:t xml:space="preserve">drawn portraiture copied from the photographs taken at an exact time and place, rely existentially upon the </w:t>
      </w:r>
      <w:r w:rsidR="00EF39D7">
        <w:t>live</w:t>
      </w:r>
      <w:r>
        <w:t xml:space="preserve"> </w:t>
      </w:r>
      <w:r w:rsidR="00EF39D7">
        <w:t>interaction between</w:t>
      </w:r>
      <w:r>
        <w:t xml:space="preserve"> Humphreys</w:t>
      </w:r>
      <w:r w:rsidR="00EA57B1">
        <w:t xml:space="preserve"> and</w:t>
      </w:r>
      <w:r>
        <w:t xml:space="preserve"> Kugler and their subjects.  Hence the power of all reportage journalism, which</w:t>
      </w:r>
      <w:r w:rsidR="0010731A">
        <w:t xml:space="preserve"> taps into the immediacy of images that have been created as a result of the </w:t>
      </w:r>
      <w:r w:rsidR="0066386E">
        <w:t>illustrator’</w:t>
      </w:r>
      <w:r w:rsidR="0010731A">
        <w:t>s presence on location and the journalist’s proactive construction of a narrative arc</w:t>
      </w:r>
      <w:r w:rsidR="00440371">
        <w:t xml:space="preserve"> that comes from engaging in interviews</w:t>
      </w:r>
      <w:r w:rsidR="0010731A">
        <w:t xml:space="preserve">, </w:t>
      </w:r>
      <w:r w:rsidR="0010731A" w:rsidRPr="0010731A">
        <w:rPr>
          <w:color w:val="000000" w:themeColor="text1"/>
        </w:rPr>
        <w:t>‘</w:t>
      </w:r>
      <w:r w:rsidR="004B1049" w:rsidRPr="0010731A">
        <w:rPr>
          <w:rFonts w:ascii="TiemposText" w:hAnsi="TiemposText"/>
          <w:color w:val="000000" w:themeColor="text1"/>
          <w:spacing w:val="-1"/>
          <w:sz w:val="23"/>
          <w:szCs w:val="23"/>
          <w:shd w:val="clear" w:color="auto" w:fill="FFFFFF"/>
        </w:rPr>
        <w:t>translating what they witness into handmade imagery.</w:t>
      </w:r>
      <w:r w:rsidR="0010731A" w:rsidRPr="0010731A">
        <w:rPr>
          <w:rFonts w:ascii="TiemposText" w:hAnsi="TiemposText"/>
          <w:color w:val="000000" w:themeColor="text1"/>
          <w:spacing w:val="-1"/>
          <w:sz w:val="23"/>
          <w:szCs w:val="23"/>
          <w:shd w:val="clear" w:color="auto" w:fill="FFFFFF"/>
        </w:rPr>
        <w:t>’</w:t>
      </w:r>
      <w:r w:rsidR="004B1049" w:rsidRPr="0010731A">
        <w:rPr>
          <w:rStyle w:val="EndnoteReference"/>
          <w:color w:val="000000" w:themeColor="text1"/>
          <w:spacing w:val="-1"/>
          <w:shd w:val="clear" w:color="auto" w:fill="FFFFFF"/>
        </w:rPr>
        <w:endnoteReference w:id="8"/>
      </w:r>
      <w:r w:rsidR="00440371">
        <w:rPr>
          <w:rFonts w:ascii="TiemposText" w:hAnsi="TiemposText"/>
          <w:color w:val="000000" w:themeColor="text1"/>
          <w:spacing w:val="-1"/>
          <w:sz w:val="23"/>
          <w:szCs w:val="23"/>
          <w:shd w:val="clear" w:color="auto" w:fill="FFFFFF"/>
        </w:rPr>
        <w:t xml:space="preserve"> </w:t>
      </w:r>
      <w:r w:rsidR="00C805D2">
        <w:rPr>
          <w:rFonts w:ascii="TiemposText" w:hAnsi="TiemposText"/>
          <w:color w:val="000000" w:themeColor="text1"/>
          <w:spacing w:val="-1"/>
          <w:sz w:val="23"/>
          <w:szCs w:val="23"/>
          <w:shd w:val="clear" w:color="auto" w:fill="FFFFFF"/>
        </w:rPr>
        <w:t xml:space="preserve"> The ‘handmade’ imagery, including the words written in the speech bubbles, that emerge from being ‘there’ - </w:t>
      </w:r>
      <w:r w:rsidR="00C805D2">
        <w:rPr>
          <w:rFonts w:ascii="TiemposText" w:hAnsi="TiemposText"/>
          <w:i/>
          <w:iCs/>
          <w:color w:val="000000" w:themeColor="text1"/>
          <w:spacing w:val="-1"/>
          <w:sz w:val="23"/>
          <w:szCs w:val="23"/>
          <w:shd w:val="clear" w:color="auto" w:fill="FFFFFF"/>
        </w:rPr>
        <w:t>witnessing</w:t>
      </w:r>
      <w:r w:rsidR="00C805D2">
        <w:rPr>
          <w:rFonts w:ascii="TiemposText" w:hAnsi="TiemposText"/>
          <w:color w:val="000000" w:themeColor="text1"/>
          <w:spacing w:val="-1"/>
          <w:sz w:val="23"/>
          <w:szCs w:val="23"/>
          <w:shd w:val="clear" w:color="auto" w:fill="FFFFFF"/>
        </w:rPr>
        <w:t xml:space="preserve"> – operate as </w:t>
      </w:r>
      <w:r w:rsidR="00C805D2">
        <w:rPr>
          <w:rFonts w:ascii="TiemposText" w:hAnsi="TiemposText"/>
          <w:i/>
          <w:iCs/>
          <w:color w:val="000000" w:themeColor="text1"/>
          <w:spacing w:val="-1"/>
          <w:sz w:val="23"/>
          <w:szCs w:val="23"/>
          <w:shd w:val="clear" w:color="auto" w:fill="FFFFFF"/>
        </w:rPr>
        <w:t>indexical signifiers</w:t>
      </w:r>
      <w:r w:rsidR="00C805D2">
        <w:rPr>
          <w:rFonts w:ascii="TiemposText" w:hAnsi="TiemposText"/>
          <w:color w:val="000000" w:themeColor="text1"/>
          <w:spacing w:val="-1"/>
          <w:sz w:val="23"/>
          <w:szCs w:val="23"/>
          <w:shd w:val="clear" w:color="auto" w:fill="FFFFFF"/>
        </w:rPr>
        <w:t xml:space="preserve">: </w:t>
      </w:r>
      <w:r w:rsidR="00DF2BEC" w:rsidRPr="005E57A4">
        <w:rPr>
          <w:color w:val="000000" w:themeColor="text1"/>
        </w:rPr>
        <w:t xml:space="preserve">marks which </w:t>
      </w:r>
      <w:r w:rsidR="00CA45FD">
        <w:rPr>
          <w:color w:val="000000" w:themeColor="text1"/>
        </w:rPr>
        <w:t xml:space="preserve">conjoin </w:t>
      </w:r>
      <w:r w:rsidR="00DF2BEC" w:rsidRPr="005E57A4">
        <w:rPr>
          <w:color w:val="000000" w:themeColor="text1"/>
        </w:rPr>
        <w:t xml:space="preserve">their referent. Examples of indexical signifiers </w:t>
      </w:r>
      <w:r w:rsidR="00DF2BEC" w:rsidRPr="00A1610F">
        <w:t>include, among many things, footprints, cigarette ashes, scents that linger, autographs,</w:t>
      </w:r>
      <w:r w:rsidR="00DF2BEC" w:rsidRPr="005E57A4">
        <w:rPr>
          <w:color w:val="000000" w:themeColor="text1"/>
        </w:rPr>
        <w:t xml:space="preserve"> echoes, </w:t>
      </w:r>
      <w:r w:rsidR="00003FF7" w:rsidRPr="005E57A4">
        <w:rPr>
          <w:color w:val="000000" w:themeColor="text1"/>
        </w:rPr>
        <w:t xml:space="preserve">sweat stains, </w:t>
      </w:r>
      <w:r w:rsidR="00DF2BEC" w:rsidRPr="005E57A4">
        <w:rPr>
          <w:color w:val="000000" w:themeColor="text1"/>
        </w:rPr>
        <w:t xml:space="preserve">and traditional (non-digital) photography. </w:t>
      </w:r>
      <w:r w:rsidR="00077AE8" w:rsidRPr="005E57A4">
        <w:rPr>
          <w:color w:val="000000" w:themeColor="text1"/>
        </w:rPr>
        <w:t xml:space="preserve">In this sense of connectedness or contiguity, an index never ‘is’ on its own; it always, by definition, </w:t>
      </w:r>
      <w:r w:rsidR="00CF17EE">
        <w:rPr>
          <w:color w:val="000000" w:themeColor="text1"/>
        </w:rPr>
        <w:t>connects</w:t>
      </w:r>
      <w:r w:rsidR="00077AE8" w:rsidRPr="005E57A4">
        <w:rPr>
          <w:color w:val="000000" w:themeColor="text1"/>
        </w:rPr>
        <w:t xml:space="preserve"> to something which anchors and touches it</w:t>
      </w:r>
      <w:r w:rsidR="00AF732B">
        <w:rPr>
          <w:color w:val="000000" w:themeColor="text1"/>
        </w:rPr>
        <w:t xml:space="preserve">, that is, which </w:t>
      </w:r>
      <w:r w:rsidR="00D13CC5">
        <w:rPr>
          <w:color w:val="000000" w:themeColor="text1"/>
        </w:rPr>
        <w:t xml:space="preserve">it </w:t>
      </w:r>
      <w:r w:rsidR="00AF732B">
        <w:rPr>
          <w:color w:val="000000" w:themeColor="text1"/>
        </w:rPr>
        <w:t>‘is</w:t>
      </w:r>
      <w:r w:rsidR="00D13CC5">
        <w:rPr>
          <w:color w:val="000000" w:themeColor="text1"/>
        </w:rPr>
        <w:t xml:space="preserve"> of</w:t>
      </w:r>
      <w:r w:rsidR="00AF732B">
        <w:rPr>
          <w:color w:val="000000" w:themeColor="text1"/>
        </w:rPr>
        <w:t>’</w:t>
      </w:r>
      <w:r w:rsidR="00077AE8" w:rsidRPr="005E57A4">
        <w:rPr>
          <w:color w:val="000000" w:themeColor="text1"/>
        </w:rPr>
        <w:t xml:space="preserve">. This category </w:t>
      </w:r>
      <w:r w:rsidR="001F0C6D">
        <w:rPr>
          <w:color w:val="000000" w:themeColor="text1"/>
        </w:rPr>
        <w:t>of</w:t>
      </w:r>
      <w:r w:rsidR="00077AE8" w:rsidRPr="005E57A4">
        <w:rPr>
          <w:color w:val="000000" w:themeColor="text1"/>
        </w:rPr>
        <w:t xml:space="preserve"> semiotics was proposed by Charles S. Peirce, the American philosopher </w:t>
      </w:r>
      <w:r w:rsidR="00C258E3" w:rsidRPr="005E57A4">
        <w:rPr>
          <w:color w:val="000000" w:themeColor="text1"/>
        </w:rPr>
        <w:t>writing in the middle t</w:t>
      </w:r>
      <w:r w:rsidR="00641547">
        <w:rPr>
          <w:color w:val="000000" w:themeColor="text1"/>
        </w:rPr>
        <w:t>hrough</w:t>
      </w:r>
      <w:r w:rsidR="00C258E3" w:rsidRPr="005E57A4">
        <w:rPr>
          <w:color w:val="000000" w:themeColor="text1"/>
        </w:rPr>
        <w:t xml:space="preserve"> late 19</w:t>
      </w:r>
      <w:r w:rsidR="00C258E3" w:rsidRPr="005E57A4">
        <w:rPr>
          <w:color w:val="000000" w:themeColor="text1"/>
          <w:vertAlign w:val="superscript"/>
        </w:rPr>
        <w:t>th</w:t>
      </w:r>
      <w:r w:rsidR="00C258E3" w:rsidRPr="005E57A4">
        <w:rPr>
          <w:color w:val="000000" w:themeColor="text1"/>
        </w:rPr>
        <w:t xml:space="preserve"> century. </w:t>
      </w:r>
    </w:p>
    <w:p w14:paraId="7E7964A9" w14:textId="17E90B46" w:rsidR="00C258E3" w:rsidRPr="005E57A4" w:rsidRDefault="00C258E3" w:rsidP="00B85BE1">
      <w:pPr>
        <w:pStyle w:val="NormalWeb"/>
        <w:spacing w:before="0" w:beforeAutospacing="0" w:line="480" w:lineRule="auto"/>
        <w:ind w:firstLine="720"/>
        <w:rPr>
          <w:color w:val="000000" w:themeColor="text1"/>
        </w:rPr>
      </w:pPr>
      <w:r w:rsidRPr="005E57A4">
        <w:rPr>
          <w:color w:val="000000" w:themeColor="text1"/>
        </w:rPr>
        <w:t xml:space="preserve">Peirce’s system of semiotics is distinctive from other semioticians in its introduction of the Index, which he differentiated from </w:t>
      </w:r>
      <w:r w:rsidR="000559F9">
        <w:rPr>
          <w:color w:val="000000" w:themeColor="text1"/>
        </w:rPr>
        <w:t>his other forms</w:t>
      </w:r>
      <w:r w:rsidRPr="005E57A4">
        <w:rPr>
          <w:color w:val="000000" w:themeColor="text1"/>
        </w:rPr>
        <w:t xml:space="preserve"> of signification, namely, the Icon</w:t>
      </w:r>
      <w:r w:rsidR="005E57A4" w:rsidRPr="005E57A4">
        <w:rPr>
          <w:color w:val="000000" w:themeColor="text1"/>
        </w:rPr>
        <w:t xml:space="preserve"> and the Symbol. The Icon </w:t>
      </w:r>
      <w:r w:rsidRPr="005E57A4">
        <w:rPr>
          <w:color w:val="000000" w:themeColor="text1"/>
        </w:rPr>
        <w:t>relies on resemblance (</w:t>
      </w:r>
      <w:r w:rsidR="00977430" w:rsidRPr="005E57A4">
        <w:rPr>
          <w:color w:val="000000" w:themeColor="text1"/>
        </w:rPr>
        <w:t xml:space="preserve">e.g. </w:t>
      </w:r>
      <w:r w:rsidRPr="005E57A4">
        <w:rPr>
          <w:color w:val="000000" w:themeColor="text1"/>
        </w:rPr>
        <w:t>an image, a linguistic description of a scene)</w:t>
      </w:r>
      <w:r w:rsidR="005E57A4" w:rsidRPr="005E57A4">
        <w:rPr>
          <w:color w:val="000000" w:themeColor="text1"/>
        </w:rPr>
        <w:t>, imparting</w:t>
      </w:r>
      <w:r w:rsidRPr="005E57A4">
        <w:rPr>
          <w:color w:val="000000" w:themeColor="text1"/>
        </w:rPr>
        <w:t xml:space="preserve"> reassuring</w:t>
      </w:r>
      <w:r w:rsidR="00504165">
        <w:rPr>
          <w:color w:val="000000" w:themeColor="text1"/>
        </w:rPr>
        <w:t>, stable</w:t>
      </w:r>
      <w:r w:rsidRPr="005E57A4">
        <w:rPr>
          <w:color w:val="000000" w:themeColor="text1"/>
        </w:rPr>
        <w:t xml:space="preserve"> </w:t>
      </w:r>
      <w:r w:rsidR="00504165">
        <w:rPr>
          <w:color w:val="000000" w:themeColor="text1"/>
        </w:rPr>
        <w:t>meaning</w:t>
      </w:r>
      <w:r w:rsidRPr="005E57A4">
        <w:rPr>
          <w:color w:val="000000" w:themeColor="text1"/>
        </w:rPr>
        <w:t xml:space="preserve">. We understand this assurance through the long history of mimesis or imitation of something </w:t>
      </w:r>
      <w:r w:rsidR="00FC2D14">
        <w:rPr>
          <w:color w:val="000000" w:themeColor="text1"/>
        </w:rPr>
        <w:t>T</w:t>
      </w:r>
      <w:r w:rsidRPr="005E57A4">
        <w:rPr>
          <w:color w:val="000000" w:themeColor="text1"/>
        </w:rPr>
        <w:t xml:space="preserve">rue and </w:t>
      </w:r>
      <w:r w:rsidR="00FC2D14">
        <w:rPr>
          <w:color w:val="000000" w:themeColor="text1"/>
        </w:rPr>
        <w:t>G</w:t>
      </w:r>
      <w:r w:rsidRPr="005E57A4">
        <w:rPr>
          <w:color w:val="000000" w:themeColor="text1"/>
        </w:rPr>
        <w:t xml:space="preserve">ood (Plato). Peirce’s </w:t>
      </w:r>
      <w:r w:rsidR="005E57A4" w:rsidRPr="005E57A4">
        <w:rPr>
          <w:color w:val="000000" w:themeColor="text1"/>
        </w:rPr>
        <w:t xml:space="preserve">next </w:t>
      </w:r>
      <w:r w:rsidRPr="005E57A4">
        <w:rPr>
          <w:color w:val="000000" w:themeColor="text1"/>
        </w:rPr>
        <w:t xml:space="preserve">category is the Symbol, which </w:t>
      </w:r>
      <w:r w:rsidR="00C9070E">
        <w:rPr>
          <w:color w:val="000000" w:themeColor="text1"/>
        </w:rPr>
        <w:t xml:space="preserve">imparts meaning through shared </w:t>
      </w:r>
      <w:r w:rsidRPr="005E57A4">
        <w:rPr>
          <w:color w:val="000000" w:themeColor="text1"/>
        </w:rPr>
        <w:t>social codes. In both the Icon and the Symbol, relations of referentiality have no</w:t>
      </w:r>
      <w:r w:rsidR="00A35126">
        <w:rPr>
          <w:color w:val="000000" w:themeColor="text1"/>
        </w:rPr>
        <w:t xml:space="preserve"> </w:t>
      </w:r>
      <w:r w:rsidR="00CA45FD">
        <w:rPr>
          <w:color w:val="000000" w:themeColor="text1"/>
        </w:rPr>
        <w:t xml:space="preserve">literal </w:t>
      </w:r>
      <w:r w:rsidRPr="005E57A4">
        <w:rPr>
          <w:color w:val="000000" w:themeColor="text1"/>
        </w:rPr>
        <w:t xml:space="preserve">connection to their referents. </w:t>
      </w:r>
      <w:r w:rsidR="00E21A36">
        <w:rPr>
          <w:color w:val="000000" w:themeColor="text1"/>
        </w:rPr>
        <w:t>As such</w:t>
      </w:r>
      <w:r w:rsidR="00977430" w:rsidRPr="005E57A4">
        <w:rPr>
          <w:color w:val="000000" w:themeColor="text1"/>
        </w:rPr>
        <w:t>, the</w:t>
      </w:r>
      <w:r w:rsidR="00A35126">
        <w:rPr>
          <w:color w:val="000000" w:themeColor="text1"/>
        </w:rPr>
        <w:t xml:space="preserve"> Icon and the Symbol</w:t>
      </w:r>
      <w:r w:rsidR="00977430" w:rsidRPr="005E57A4">
        <w:rPr>
          <w:color w:val="000000" w:themeColor="text1"/>
        </w:rPr>
        <w:t xml:space="preserve"> can ‘</w:t>
      </w:r>
      <w:r w:rsidR="00846CEA">
        <w:rPr>
          <w:color w:val="000000" w:themeColor="text1"/>
        </w:rPr>
        <w:t>exist</w:t>
      </w:r>
      <w:r w:rsidR="00977430" w:rsidRPr="005E57A4">
        <w:rPr>
          <w:color w:val="000000" w:themeColor="text1"/>
        </w:rPr>
        <w:t xml:space="preserve">’ on their own, even in their referential function. </w:t>
      </w:r>
      <w:r w:rsidRPr="005E57A4">
        <w:rPr>
          <w:color w:val="000000" w:themeColor="text1"/>
        </w:rPr>
        <w:t>I</w:t>
      </w:r>
      <w:r w:rsidR="005E57A4" w:rsidRPr="005E57A4">
        <w:rPr>
          <w:color w:val="000000" w:themeColor="text1"/>
        </w:rPr>
        <w:t xml:space="preserve">ndexical signs, however, </w:t>
      </w:r>
      <w:r w:rsidRPr="005E57A4">
        <w:rPr>
          <w:color w:val="000000" w:themeColor="text1"/>
        </w:rPr>
        <w:t xml:space="preserve">exist </w:t>
      </w:r>
      <w:r w:rsidR="00A35126">
        <w:rPr>
          <w:color w:val="000000" w:themeColor="text1"/>
        </w:rPr>
        <w:t>solely</w:t>
      </w:r>
      <w:r w:rsidR="007E7F96">
        <w:rPr>
          <w:color w:val="000000" w:themeColor="text1"/>
        </w:rPr>
        <w:t xml:space="preserve"> in</w:t>
      </w:r>
      <w:r w:rsidR="00430045">
        <w:rPr>
          <w:color w:val="000000" w:themeColor="text1"/>
        </w:rPr>
        <w:t xml:space="preserve"> </w:t>
      </w:r>
      <w:r w:rsidR="00A35126">
        <w:rPr>
          <w:color w:val="000000" w:themeColor="text1"/>
        </w:rPr>
        <w:t>the act of</w:t>
      </w:r>
      <w:r w:rsidRPr="005E57A4">
        <w:rPr>
          <w:color w:val="000000" w:themeColor="text1"/>
        </w:rPr>
        <w:t xml:space="preserve"> </w:t>
      </w:r>
      <w:r w:rsidR="004913AA">
        <w:rPr>
          <w:color w:val="000000" w:themeColor="text1"/>
        </w:rPr>
        <w:t>connecting</w:t>
      </w:r>
      <w:r w:rsidRPr="005E57A4">
        <w:rPr>
          <w:color w:val="000000" w:themeColor="text1"/>
        </w:rPr>
        <w:t xml:space="preserve"> to something else</w:t>
      </w:r>
      <w:r w:rsidR="005E57A4" w:rsidRPr="005E57A4">
        <w:rPr>
          <w:color w:val="000000" w:themeColor="text1"/>
        </w:rPr>
        <w:t>; they can never stand alone</w:t>
      </w:r>
      <w:r w:rsidR="00A35126">
        <w:rPr>
          <w:color w:val="000000" w:themeColor="text1"/>
        </w:rPr>
        <w:t xml:space="preserve"> as a sign</w:t>
      </w:r>
      <w:r w:rsidRPr="005E57A4">
        <w:rPr>
          <w:color w:val="000000" w:themeColor="text1"/>
        </w:rPr>
        <w:t>.</w:t>
      </w:r>
      <w:r w:rsidRPr="009E40C0">
        <w:rPr>
          <w:color w:val="000000" w:themeColor="text1"/>
        </w:rPr>
        <w:t xml:space="preserve"> </w:t>
      </w:r>
      <w:r w:rsidR="00421DAC" w:rsidRPr="009E40C0">
        <w:rPr>
          <w:color w:val="000000" w:themeColor="text1"/>
        </w:rPr>
        <w:t>Art historian Rosalind Krauss</w:t>
      </w:r>
      <w:r w:rsidR="00166DEE" w:rsidRPr="009E40C0">
        <w:rPr>
          <w:color w:val="000000" w:themeColor="text1"/>
        </w:rPr>
        <w:t xml:space="preserve"> </w:t>
      </w:r>
      <w:r w:rsidR="00B85BE1">
        <w:rPr>
          <w:color w:val="000000" w:themeColor="text1"/>
        </w:rPr>
        <w:t>clarifies</w:t>
      </w:r>
      <w:r w:rsidR="00421DAC" w:rsidRPr="009E40C0">
        <w:rPr>
          <w:color w:val="000000" w:themeColor="text1"/>
        </w:rPr>
        <w:t xml:space="preserve"> what makes the Index distinctive </w:t>
      </w:r>
      <w:r w:rsidR="004456FE">
        <w:rPr>
          <w:color w:val="000000" w:themeColor="text1"/>
        </w:rPr>
        <w:t>within</w:t>
      </w:r>
      <w:r w:rsidR="00421DAC" w:rsidRPr="009E40C0">
        <w:rPr>
          <w:color w:val="000000" w:themeColor="text1"/>
        </w:rPr>
        <w:t xml:space="preserve"> Peirce’s </w:t>
      </w:r>
      <w:r w:rsidR="004456FE">
        <w:rPr>
          <w:color w:val="000000" w:themeColor="text1"/>
        </w:rPr>
        <w:t>classification</w:t>
      </w:r>
      <w:r w:rsidR="00421DAC" w:rsidRPr="009E40C0">
        <w:rPr>
          <w:color w:val="000000" w:themeColor="text1"/>
        </w:rPr>
        <w:t xml:space="preserve">: </w:t>
      </w:r>
      <w:r w:rsidR="009E40C0">
        <w:rPr>
          <w:color w:val="000000" w:themeColor="text1"/>
        </w:rPr>
        <w:t>‘</w:t>
      </w:r>
      <w:r w:rsidR="00421DAC" w:rsidRPr="009E40C0">
        <w:rPr>
          <w:color w:val="000000" w:themeColor="text1"/>
        </w:rPr>
        <w:t xml:space="preserve">As distinct from symbols, indexes establish their meaning </w:t>
      </w:r>
      <w:r w:rsidR="00421DAC" w:rsidRPr="009E40C0">
        <w:rPr>
          <w:color w:val="000000" w:themeColor="text1"/>
        </w:rPr>
        <w:lastRenderedPageBreak/>
        <w:t>along the axis of a physical relation to their referents. They are marks or traces of a particular cause, and that cause is the thing to which they refer, the object they signify.</w:t>
      </w:r>
      <w:r w:rsidR="002024B5">
        <w:rPr>
          <w:color w:val="000000" w:themeColor="text1"/>
        </w:rPr>
        <w:t>’</w:t>
      </w:r>
      <w:r w:rsidR="00421DAC">
        <w:rPr>
          <w:rStyle w:val="EndnoteReference"/>
          <w:sz w:val="20"/>
          <w:szCs w:val="20"/>
        </w:rPr>
        <w:endnoteReference w:id="9"/>
      </w:r>
      <w:r w:rsidR="00421DAC" w:rsidRPr="00341A48">
        <w:rPr>
          <w:sz w:val="20"/>
          <w:szCs w:val="20"/>
        </w:rPr>
        <w:t xml:space="preserve"> </w:t>
      </w:r>
      <w:r w:rsidR="009E40C0">
        <w:rPr>
          <w:sz w:val="20"/>
          <w:szCs w:val="20"/>
        </w:rPr>
        <w:t xml:space="preserve"> </w:t>
      </w:r>
    </w:p>
    <w:p w14:paraId="63FB250F" w14:textId="390CFBD2" w:rsidR="00080C1C" w:rsidRDefault="005E57A4" w:rsidP="00421DAC">
      <w:pPr>
        <w:pStyle w:val="NormalWeb"/>
        <w:spacing w:line="480" w:lineRule="auto"/>
        <w:rPr>
          <w:color w:val="000000" w:themeColor="text1"/>
        </w:rPr>
      </w:pPr>
      <w:r>
        <w:rPr>
          <w:color w:val="4472C4" w:themeColor="accent1"/>
        </w:rPr>
        <w:tab/>
      </w:r>
      <w:r w:rsidR="00CF3CEB" w:rsidRPr="00E10D73">
        <w:rPr>
          <w:color w:val="000000" w:themeColor="text1"/>
        </w:rPr>
        <w:t>Pei</w:t>
      </w:r>
      <w:r w:rsidR="004A61AD" w:rsidRPr="00E10D73">
        <w:rPr>
          <w:color w:val="000000" w:themeColor="text1"/>
        </w:rPr>
        <w:t xml:space="preserve">rce’s notion of the Index </w:t>
      </w:r>
      <w:r w:rsidR="00CD425B">
        <w:rPr>
          <w:color w:val="000000" w:themeColor="text1"/>
        </w:rPr>
        <w:t>encompasses</w:t>
      </w:r>
      <w:r w:rsidR="004A61AD" w:rsidRPr="00E10D73">
        <w:rPr>
          <w:color w:val="000000" w:themeColor="text1"/>
        </w:rPr>
        <w:t xml:space="preserve"> </w:t>
      </w:r>
      <w:r w:rsidR="00CF3CEB" w:rsidRPr="00E10D73">
        <w:rPr>
          <w:color w:val="000000" w:themeColor="text1"/>
        </w:rPr>
        <w:t xml:space="preserve">two categories: that of </w:t>
      </w:r>
      <w:r w:rsidR="00CF3CEB" w:rsidRPr="00E10D73">
        <w:rPr>
          <w:i/>
          <w:iCs/>
          <w:color w:val="000000" w:themeColor="text1"/>
        </w:rPr>
        <w:t>trace</w:t>
      </w:r>
      <w:r w:rsidR="00CF3CEB" w:rsidRPr="00E10D73">
        <w:rPr>
          <w:color w:val="000000" w:themeColor="text1"/>
        </w:rPr>
        <w:t xml:space="preserve"> and that of </w:t>
      </w:r>
      <w:r w:rsidR="00C258E3" w:rsidRPr="00E10D73">
        <w:rPr>
          <w:i/>
          <w:iCs/>
          <w:color w:val="000000" w:themeColor="text1"/>
        </w:rPr>
        <w:t>deictic</w:t>
      </w:r>
      <w:r w:rsidR="00CF3CEB" w:rsidRPr="00E10D73">
        <w:rPr>
          <w:color w:val="000000" w:themeColor="text1"/>
        </w:rPr>
        <w:t xml:space="preserve">. </w:t>
      </w:r>
      <w:r w:rsidR="00C7097E" w:rsidRPr="00E10D73">
        <w:rPr>
          <w:color w:val="000000" w:themeColor="text1"/>
        </w:rPr>
        <w:t xml:space="preserve">The </w:t>
      </w:r>
      <w:r w:rsidR="00C7097E" w:rsidRPr="00E10D73">
        <w:rPr>
          <w:i/>
          <w:iCs/>
          <w:color w:val="000000" w:themeColor="text1"/>
        </w:rPr>
        <w:t>trace</w:t>
      </w:r>
      <w:r w:rsidR="002A5B97">
        <w:rPr>
          <w:color w:val="000000" w:themeColor="text1"/>
        </w:rPr>
        <w:t xml:space="preserve"> is, </w:t>
      </w:r>
      <w:r w:rsidR="007D656C" w:rsidRPr="00E10D73">
        <w:rPr>
          <w:color w:val="000000" w:themeColor="text1"/>
        </w:rPr>
        <w:t xml:space="preserve">as defined as above, a physical remnant, and, as such, does not ‘represent’ something because it ‘is of’ something, as residue, </w:t>
      </w:r>
      <w:proofErr w:type="gramStart"/>
      <w:r w:rsidR="007D656C" w:rsidRPr="00E10D73">
        <w:rPr>
          <w:color w:val="000000" w:themeColor="text1"/>
        </w:rPr>
        <w:t>or,</w:t>
      </w:r>
      <w:proofErr w:type="gramEnd"/>
      <w:r w:rsidR="007D656C" w:rsidRPr="00E10D73">
        <w:rPr>
          <w:color w:val="000000" w:themeColor="text1"/>
        </w:rPr>
        <w:t xml:space="preserve"> imprint. </w:t>
      </w:r>
      <w:r w:rsidR="004A61AD" w:rsidRPr="00E10D73">
        <w:rPr>
          <w:color w:val="000000" w:themeColor="text1"/>
        </w:rPr>
        <w:t xml:space="preserve"> </w:t>
      </w:r>
      <w:r w:rsidR="004A61AD" w:rsidRPr="00E10D73">
        <w:rPr>
          <w:i/>
          <w:iCs/>
          <w:color w:val="000000" w:themeColor="text1"/>
        </w:rPr>
        <w:t>Deictic</w:t>
      </w:r>
      <w:r w:rsidR="004A61AD" w:rsidRPr="00E10D73">
        <w:rPr>
          <w:color w:val="000000" w:themeColor="text1"/>
        </w:rPr>
        <w:t xml:space="preserve"> refers to the Index’s other aspect, which, in </w:t>
      </w:r>
      <w:r w:rsidR="006B4D55">
        <w:rPr>
          <w:color w:val="000000" w:themeColor="text1"/>
        </w:rPr>
        <w:t>some</w:t>
      </w:r>
      <w:r w:rsidR="004A61AD" w:rsidRPr="00E10D73">
        <w:rPr>
          <w:color w:val="000000" w:themeColor="text1"/>
        </w:rPr>
        <w:t xml:space="preserve"> ways, </w:t>
      </w:r>
      <w:r w:rsidR="00790845">
        <w:rPr>
          <w:color w:val="000000" w:themeColor="text1"/>
        </w:rPr>
        <w:t xml:space="preserve">seems </w:t>
      </w:r>
      <w:r w:rsidR="004A61AD" w:rsidRPr="00E10D73">
        <w:rPr>
          <w:color w:val="000000" w:themeColor="text1"/>
        </w:rPr>
        <w:t xml:space="preserve">opposite </w:t>
      </w:r>
      <w:r w:rsidR="00790845">
        <w:rPr>
          <w:color w:val="000000" w:themeColor="text1"/>
        </w:rPr>
        <w:t>to</w:t>
      </w:r>
      <w:r w:rsidR="004A61AD" w:rsidRPr="00E10D73">
        <w:rPr>
          <w:color w:val="000000" w:themeColor="text1"/>
        </w:rPr>
        <w:t xml:space="preserve"> the trace</w:t>
      </w:r>
      <w:r w:rsidR="00421DAC" w:rsidRPr="00E10D73">
        <w:rPr>
          <w:color w:val="000000" w:themeColor="text1"/>
        </w:rPr>
        <w:t>: a pointing function that works</w:t>
      </w:r>
      <w:r w:rsidR="00C4595F">
        <w:rPr>
          <w:color w:val="000000" w:themeColor="text1"/>
        </w:rPr>
        <w:t xml:space="preserve"> </w:t>
      </w:r>
      <w:r w:rsidR="00C4595F">
        <w:rPr>
          <w:i/>
          <w:iCs/>
          <w:color w:val="000000" w:themeColor="text1"/>
        </w:rPr>
        <w:t>because</w:t>
      </w:r>
      <w:r w:rsidR="00C4595F">
        <w:rPr>
          <w:color w:val="000000" w:themeColor="text1"/>
        </w:rPr>
        <w:t xml:space="preserve"> it</w:t>
      </w:r>
      <w:r w:rsidR="00421DAC" w:rsidRPr="00E10D73">
        <w:rPr>
          <w:color w:val="000000" w:themeColor="text1"/>
        </w:rPr>
        <w:t xml:space="preserve"> </w:t>
      </w:r>
      <w:r w:rsidR="00421DAC" w:rsidRPr="00C4595F">
        <w:rPr>
          <w:color w:val="000000" w:themeColor="text1"/>
        </w:rPr>
        <w:t>indicat</w:t>
      </w:r>
      <w:r w:rsidR="00C4595F">
        <w:rPr>
          <w:color w:val="000000" w:themeColor="text1"/>
        </w:rPr>
        <w:t>es</w:t>
      </w:r>
      <w:r w:rsidR="00421DAC" w:rsidRPr="00C4595F">
        <w:rPr>
          <w:color w:val="000000" w:themeColor="text1"/>
        </w:rPr>
        <w:t xml:space="preserve"> beyond</w:t>
      </w:r>
      <w:r w:rsidR="004B47F1">
        <w:rPr>
          <w:color w:val="000000" w:themeColor="text1"/>
        </w:rPr>
        <w:t xml:space="preserve"> and outside of</w:t>
      </w:r>
      <w:r w:rsidR="00421DAC" w:rsidRPr="00E10D73">
        <w:rPr>
          <w:color w:val="000000" w:themeColor="text1"/>
        </w:rPr>
        <w:t xml:space="preserve"> itself,</w:t>
      </w:r>
      <w:r w:rsidR="00C4595F">
        <w:rPr>
          <w:color w:val="000000" w:themeColor="text1"/>
        </w:rPr>
        <w:t xml:space="preserve"> emptying itself by</w:t>
      </w:r>
      <w:r w:rsidR="00421DAC" w:rsidRPr="00E10D73">
        <w:rPr>
          <w:color w:val="000000" w:themeColor="text1"/>
        </w:rPr>
        <w:t xml:space="preserve"> pointing to another signifier</w:t>
      </w:r>
      <w:r w:rsidR="004E4FDE">
        <w:rPr>
          <w:color w:val="000000" w:themeColor="text1"/>
        </w:rPr>
        <w:t>. This action of pointing often leads to a chain of pointing signifiers, carrying the eye around the visual field from one signifier to the next, away from the initial object of focus.</w:t>
      </w:r>
      <w:r w:rsidR="00E10D73">
        <w:rPr>
          <w:color w:val="000000" w:themeColor="text1"/>
        </w:rPr>
        <w:t xml:space="preserve"> </w:t>
      </w:r>
      <w:r w:rsidR="004B47F1">
        <w:rPr>
          <w:color w:val="000000" w:themeColor="text1"/>
        </w:rPr>
        <w:t xml:space="preserve">Together, these double, seemingly contradictive actions </w:t>
      </w:r>
      <w:r w:rsidR="00B179C9">
        <w:rPr>
          <w:color w:val="000000" w:themeColor="text1"/>
        </w:rPr>
        <w:t>offer rich critical tools for considering illustration philosophically</w:t>
      </w:r>
      <w:r w:rsidR="0054409F">
        <w:rPr>
          <w:color w:val="000000" w:themeColor="text1"/>
        </w:rPr>
        <w:t xml:space="preserve">, allowing </w:t>
      </w:r>
      <w:r w:rsidR="00C526A3">
        <w:rPr>
          <w:color w:val="000000" w:themeColor="text1"/>
        </w:rPr>
        <w:t xml:space="preserve">for </w:t>
      </w:r>
      <w:r w:rsidR="0054409F">
        <w:rPr>
          <w:color w:val="000000" w:themeColor="text1"/>
        </w:rPr>
        <w:t>deeper understanding of its operations of referentiality</w:t>
      </w:r>
      <w:r w:rsidR="00B179C9">
        <w:rPr>
          <w:color w:val="000000" w:themeColor="text1"/>
        </w:rPr>
        <w:t xml:space="preserve">. </w:t>
      </w:r>
      <w:r w:rsidR="004514A3">
        <w:rPr>
          <w:color w:val="000000" w:themeColor="text1"/>
        </w:rPr>
        <w:t xml:space="preserve"> </w:t>
      </w:r>
    </w:p>
    <w:p w14:paraId="4C13C682" w14:textId="5469CEA7" w:rsidR="00377D57" w:rsidRPr="00C82BBD" w:rsidRDefault="00804DDE" w:rsidP="00421DAC">
      <w:pPr>
        <w:pStyle w:val="NormalWeb"/>
        <w:spacing w:line="480" w:lineRule="auto"/>
        <w:rPr>
          <w:color w:val="FF0000"/>
        </w:rPr>
      </w:pPr>
      <w:r>
        <w:rPr>
          <w:color w:val="000000" w:themeColor="text1"/>
          <w:u w:val="single"/>
        </w:rPr>
        <w:t xml:space="preserve">The Prototype </w:t>
      </w:r>
      <w:r w:rsidR="00080C1C">
        <w:rPr>
          <w:color w:val="000000" w:themeColor="text1"/>
          <w:u w:val="single"/>
        </w:rPr>
        <w:t>of indexical</w:t>
      </w:r>
      <w:r w:rsidR="00972C46">
        <w:rPr>
          <w:color w:val="000000" w:themeColor="text1"/>
          <w:u w:val="single"/>
        </w:rPr>
        <w:t xml:space="preserve"> reading: Krauss</w:t>
      </w:r>
      <w:r w:rsidR="009B7349">
        <w:rPr>
          <w:color w:val="000000" w:themeColor="text1"/>
          <w:u w:val="single"/>
        </w:rPr>
        <w:t xml:space="preserve"> on Duchamp’s </w:t>
      </w:r>
      <w:r w:rsidR="009B7349" w:rsidRPr="00654F40">
        <w:rPr>
          <w:i/>
          <w:iCs/>
          <w:color w:val="000000" w:themeColor="text1"/>
          <w:u w:val="single"/>
        </w:rPr>
        <w:t>Tu M’</w:t>
      </w:r>
      <w:r w:rsidR="00541E82">
        <w:rPr>
          <w:color w:val="000000" w:themeColor="text1"/>
          <w:u w:val="single"/>
        </w:rPr>
        <w:t xml:space="preserve"> and Vito Acconci’s </w:t>
      </w:r>
      <w:r w:rsidR="00541E82">
        <w:rPr>
          <w:i/>
          <w:iCs/>
          <w:color w:val="000000" w:themeColor="text1"/>
          <w:u w:val="single"/>
        </w:rPr>
        <w:t>Airtime</w:t>
      </w:r>
      <w:r w:rsidR="00972C46">
        <w:rPr>
          <w:color w:val="000000" w:themeColor="text1"/>
          <w:u w:val="single"/>
        </w:rPr>
        <w:t xml:space="preserve"> </w:t>
      </w:r>
    </w:p>
    <w:p w14:paraId="77D444ED" w14:textId="21F47E5D" w:rsidR="00480237" w:rsidRPr="007F77A1" w:rsidRDefault="00480237" w:rsidP="007F77A1">
      <w:pPr>
        <w:pStyle w:val="NormalWeb"/>
        <w:spacing w:before="0" w:beforeAutospacing="0" w:line="480" w:lineRule="auto"/>
        <w:ind w:firstLine="720"/>
        <w:rPr>
          <w:color w:val="000000" w:themeColor="text1"/>
        </w:rPr>
      </w:pPr>
      <w:r w:rsidRPr="007F77A1">
        <w:rPr>
          <w:color w:val="000000" w:themeColor="text1"/>
        </w:rPr>
        <w:t>In 1977, Rosalind Krauss published ‘Notes on the Index: Seventies Art in America,’ which</w:t>
      </w:r>
      <w:r w:rsidR="00BE7AB7">
        <w:rPr>
          <w:color w:val="000000" w:themeColor="text1"/>
        </w:rPr>
        <w:t xml:space="preserve"> inaugur</w:t>
      </w:r>
      <w:r w:rsidR="00F20775">
        <w:rPr>
          <w:color w:val="000000" w:themeColor="text1"/>
        </w:rPr>
        <w:t>ated the</w:t>
      </w:r>
      <w:r w:rsidR="00BE7AB7">
        <w:rPr>
          <w:color w:val="000000" w:themeColor="text1"/>
        </w:rPr>
        <w:t xml:space="preserve"> art historical</w:t>
      </w:r>
      <w:r w:rsidRPr="007F77A1">
        <w:rPr>
          <w:color w:val="000000" w:themeColor="text1"/>
        </w:rPr>
        <w:t xml:space="preserve"> </w:t>
      </w:r>
      <w:r w:rsidR="00947687">
        <w:rPr>
          <w:color w:val="000000" w:themeColor="text1"/>
        </w:rPr>
        <w:t>theorization</w:t>
      </w:r>
      <w:r w:rsidR="00F20775">
        <w:rPr>
          <w:color w:val="000000" w:themeColor="text1"/>
        </w:rPr>
        <w:t xml:space="preserve"> of</w:t>
      </w:r>
      <w:r w:rsidRPr="007F77A1">
        <w:rPr>
          <w:color w:val="000000" w:themeColor="text1"/>
        </w:rPr>
        <w:t xml:space="preserve"> the </w:t>
      </w:r>
      <w:r w:rsidR="00654F40" w:rsidRPr="007F77A1">
        <w:rPr>
          <w:color w:val="000000" w:themeColor="text1"/>
        </w:rPr>
        <w:t>I</w:t>
      </w:r>
      <w:r w:rsidRPr="007F77A1">
        <w:rPr>
          <w:color w:val="000000" w:themeColor="text1"/>
        </w:rPr>
        <w:t>ndex</w:t>
      </w:r>
      <w:r w:rsidR="00654F40" w:rsidRPr="007F77A1">
        <w:rPr>
          <w:color w:val="000000" w:themeColor="text1"/>
        </w:rPr>
        <w:t xml:space="preserve">. </w:t>
      </w:r>
      <w:r w:rsidRPr="007F77A1">
        <w:rPr>
          <w:color w:val="000000" w:themeColor="text1"/>
        </w:rPr>
        <w:t xml:space="preserve">Krauss extrapolated </w:t>
      </w:r>
      <w:r w:rsidR="00654F40" w:rsidRPr="007F77A1">
        <w:rPr>
          <w:color w:val="000000" w:themeColor="text1"/>
        </w:rPr>
        <w:t>the</w:t>
      </w:r>
      <w:r w:rsidRPr="007F77A1">
        <w:rPr>
          <w:color w:val="000000" w:themeColor="text1"/>
        </w:rPr>
        <w:t xml:space="preserve"> forces of </w:t>
      </w:r>
      <w:r w:rsidR="006713D5" w:rsidRPr="007F77A1">
        <w:rPr>
          <w:color w:val="000000" w:themeColor="text1"/>
        </w:rPr>
        <w:t>Peirce’s</w:t>
      </w:r>
      <w:r w:rsidRPr="007F77A1">
        <w:rPr>
          <w:color w:val="000000" w:themeColor="text1"/>
        </w:rPr>
        <w:t xml:space="preserve"> Index: indication</w:t>
      </w:r>
      <w:r w:rsidR="00FB0B9E" w:rsidRPr="007F77A1">
        <w:rPr>
          <w:color w:val="000000" w:themeColor="text1"/>
        </w:rPr>
        <w:t xml:space="preserve"> (deixis)</w:t>
      </w:r>
      <w:r w:rsidR="00541E82">
        <w:rPr>
          <w:color w:val="000000" w:themeColor="text1"/>
        </w:rPr>
        <w:t>;</w:t>
      </w:r>
      <w:r w:rsidR="00654F40" w:rsidRPr="007F77A1">
        <w:rPr>
          <w:color w:val="000000" w:themeColor="text1"/>
        </w:rPr>
        <w:t xml:space="preserve"> and</w:t>
      </w:r>
      <w:r w:rsidRPr="007F77A1">
        <w:rPr>
          <w:color w:val="000000" w:themeColor="text1"/>
        </w:rPr>
        <w:t xml:space="preserve"> connectivity, </w:t>
      </w:r>
      <w:r w:rsidR="00654F40" w:rsidRPr="007F77A1">
        <w:rPr>
          <w:color w:val="000000" w:themeColor="text1"/>
        </w:rPr>
        <w:t>to which she added</w:t>
      </w:r>
      <w:r w:rsidR="00541E82">
        <w:rPr>
          <w:color w:val="000000" w:themeColor="text1"/>
        </w:rPr>
        <w:t>, inspired by Lacanian theory,</w:t>
      </w:r>
      <w:r w:rsidR="00654F40" w:rsidRPr="007F77A1">
        <w:rPr>
          <w:color w:val="000000" w:themeColor="text1"/>
        </w:rPr>
        <w:t xml:space="preserve"> </w:t>
      </w:r>
      <w:r w:rsidR="006F2343" w:rsidRPr="007F77A1">
        <w:rPr>
          <w:color w:val="000000" w:themeColor="text1"/>
        </w:rPr>
        <w:t xml:space="preserve">the </w:t>
      </w:r>
      <w:r w:rsidR="006F2343" w:rsidRPr="007F77A1">
        <w:rPr>
          <w:i/>
          <w:iCs/>
          <w:color w:val="000000" w:themeColor="text1"/>
        </w:rPr>
        <w:t>Shifter</w:t>
      </w:r>
      <w:r w:rsidRPr="007F77A1">
        <w:rPr>
          <w:color w:val="000000" w:themeColor="text1"/>
        </w:rPr>
        <w:t xml:space="preserve">. </w:t>
      </w:r>
      <w:r w:rsidR="00E16191">
        <w:rPr>
          <w:color w:val="000000" w:themeColor="text1"/>
        </w:rPr>
        <w:t xml:space="preserve">Across </w:t>
      </w:r>
      <w:r w:rsidR="002B3B24">
        <w:rPr>
          <w:color w:val="000000" w:themeColor="text1"/>
        </w:rPr>
        <w:t>her</w:t>
      </w:r>
      <w:r w:rsidR="00E16191">
        <w:rPr>
          <w:color w:val="000000" w:themeColor="text1"/>
        </w:rPr>
        <w:t xml:space="preserve"> </w:t>
      </w:r>
      <w:r w:rsidR="00A6671B">
        <w:rPr>
          <w:color w:val="000000" w:themeColor="text1"/>
        </w:rPr>
        <w:t>enumerated</w:t>
      </w:r>
      <w:r w:rsidR="00E16191">
        <w:rPr>
          <w:color w:val="000000" w:themeColor="text1"/>
        </w:rPr>
        <w:t xml:space="preserve"> Notes, </w:t>
      </w:r>
      <w:r w:rsidR="00B35F09" w:rsidRPr="007F77A1">
        <w:rPr>
          <w:color w:val="000000" w:themeColor="text1"/>
        </w:rPr>
        <w:t>Krauss</w:t>
      </w:r>
      <w:r w:rsidR="00955F7E">
        <w:rPr>
          <w:color w:val="000000" w:themeColor="text1"/>
        </w:rPr>
        <w:t xml:space="preserve"> implies</w:t>
      </w:r>
      <w:r w:rsidR="00E16191">
        <w:rPr>
          <w:color w:val="000000" w:themeColor="text1"/>
        </w:rPr>
        <w:t xml:space="preserve"> </w:t>
      </w:r>
      <w:r w:rsidR="00B35F09" w:rsidRPr="007F77A1">
        <w:rPr>
          <w:color w:val="000000" w:themeColor="text1"/>
        </w:rPr>
        <w:t xml:space="preserve">that theory itself, as intrinsic to </w:t>
      </w:r>
      <w:r w:rsidR="00E16191">
        <w:rPr>
          <w:color w:val="000000" w:themeColor="text1"/>
        </w:rPr>
        <w:t xml:space="preserve">a particular artist’s </w:t>
      </w:r>
      <w:r w:rsidR="00B35F09" w:rsidRPr="007F77A1">
        <w:rPr>
          <w:color w:val="000000" w:themeColor="text1"/>
        </w:rPr>
        <w:t xml:space="preserve">work and not extrinsic to it, is active </w:t>
      </w:r>
      <w:r w:rsidR="00E16191">
        <w:rPr>
          <w:color w:val="000000" w:themeColor="text1"/>
        </w:rPr>
        <w:t xml:space="preserve">within the work </w:t>
      </w:r>
      <w:r w:rsidR="00B35F09" w:rsidRPr="007F77A1">
        <w:rPr>
          <w:color w:val="000000" w:themeColor="text1"/>
        </w:rPr>
        <w:t xml:space="preserve">performatively, working indexically </w:t>
      </w:r>
      <w:r w:rsidR="00D7517A">
        <w:rPr>
          <w:color w:val="000000" w:themeColor="text1"/>
        </w:rPr>
        <w:t xml:space="preserve">within and </w:t>
      </w:r>
      <w:r w:rsidR="00B35F09" w:rsidRPr="007F77A1">
        <w:rPr>
          <w:color w:val="000000" w:themeColor="text1"/>
        </w:rPr>
        <w:t xml:space="preserve">beyond the work of art. </w:t>
      </w:r>
      <w:r w:rsidR="00654F40" w:rsidRPr="007F77A1">
        <w:rPr>
          <w:color w:val="000000" w:themeColor="text1"/>
        </w:rPr>
        <w:t xml:space="preserve">Note 6 in the ‘Notes’ reads </w:t>
      </w:r>
      <w:r w:rsidR="00A705C2" w:rsidRPr="007F77A1">
        <w:rPr>
          <w:color w:val="000000" w:themeColor="text1"/>
        </w:rPr>
        <w:t xml:space="preserve">Marcel Duchamp’s </w:t>
      </w:r>
      <w:r w:rsidR="00BC1B6F" w:rsidRPr="007F77A1">
        <w:rPr>
          <w:color w:val="000000" w:themeColor="text1"/>
        </w:rPr>
        <w:t>painting of 1918,</w:t>
      </w:r>
      <w:r w:rsidR="00A705C2" w:rsidRPr="007F77A1">
        <w:rPr>
          <w:color w:val="000000" w:themeColor="text1"/>
        </w:rPr>
        <w:t xml:space="preserve"> </w:t>
      </w:r>
      <w:r w:rsidR="00654F40" w:rsidRPr="007F77A1">
        <w:rPr>
          <w:i/>
          <w:iCs/>
          <w:color w:val="000000" w:themeColor="text1"/>
        </w:rPr>
        <w:t>Tu M’</w:t>
      </w:r>
      <w:r w:rsidR="00654F40" w:rsidRPr="007F77A1">
        <w:rPr>
          <w:color w:val="000000" w:themeColor="text1"/>
        </w:rPr>
        <w:t xml:space="preserve">, which she characterizes as a ‘panorama’ of </w:t>
      </w:r>
      <w:r w:rsidR="000E5104">
        <w:rPr>
          <w:color w:val="000000" w:themeColor="text1"/>
        </w:rPr>
        <w:t>i</w:t>
      </w:r>
      <w:r w:rsidR="00654F40" w:rsidRPr="007F77A1">
        <w:rPr>
          <w:color w:val="000000" w:themeColor="text1"/>
        </w:rPr>
        <w:t>ndex</w:t>
      </w:r>
      <w:r w:rsidR="00BC1B6F" w:rsidRPr="007F77A1">
        <w:rPr>
          <w:color w:val="000000" w:themeColor="text1"/>
        </w:rPr>
        <w:t>ical traits</w:t>
      </w:r>
      <w:r w:rsidR="00654F40" w:rsidRPr="007F77A1">
        <w:rPr>
          <w:color w:val="000000" w:themeColor="text1"/>
        </w:rPr>
        <w:t>: it</w:t>
      </w:r>
      <w:r w:rsidR="00BC1B6F" w:rsidRPr="007F77A1">
        <w:rPr>
          <w:color w:val="000000" w:themeColor="text1"/>
        </w:rPr>
        <w:t>s</w:t>
      </w:r>
      <w:r w:rsidR="00654F40" w:rsidRPr="007F77A1">
        <w:rPr>
          <w:color w:val="000000" w:themeColor="text1"/>
        </w:rPr>
        <w:t xml:space="preserve"> </w:t>
      </w:r>
      <w:r w:rsidR="00BC1B6F" w:rsidRPr="007F77A1">
        <w:rPr>
          <w:color w:val="000000" w:themeColor="text1"/>
        </w:rPr>
        <w:t xml:space="preserve">composition consists of images that are cast shadows of ready-made items </w:t>
      </w:r>
      <w:r w:rsidR="009268CC">
        <w:rPr>
          <w:color w:val="000000" w:themeColor="text1"/>
        </w:rPr>
        <w:t>not visible to</w:t>
      </w:r>
      <w:r w:rsidR="001D0637">
        <w:rPr>
          <w:color w:val="000000" w:themeColor="text1"/>
        </w:rPr>
        <w:t xml:space="preserve"> the viewe</w:t>
      </w:r>
      <w:r w:rsidR="009268CC">
        <w:rPr>
          <w:color w:val="000000" w:themeColor="text1"/>
        </w:rPr>
        <w:t>r</w:t>
      </w:r>
      <w:r w:rsidR="00BC1B6F" w:rsidRPr="007F77A1">
        <w:rPr>
          <w:color w:val="000000" w:themeColor="text1"/>
        </w:rPr>
        <w:t xml:space="preserve">, </w:t>
      </w:r>
      <w:r w:rsidR="00524B66">
        <w:rPr>
          <w:color w:val="000000" w:themeColor="text1"/>
        </w:rPr>
        <w:t>emphasizing</w:t>
      </w:r>
      <w:r w:rsidR="00BC1B6F" w:rsidRPr="007F77A1">
        <w:rPr>
          <w:color w:val="000000" w:themeColor="text1"/>
        </w:rPr>
        <w:t xml:space="preserve"> the </w:t>
      </w:r>
      <w:r w:rsidR="00BE43E7">
        <w:rPr>
          <w:color w:val="000000" w:themeColor="text1"/>
        </w:rPr>
        <w:t xml:space="preserve">trace </w:t>
      </w:r>
      <w:r w:rsidR="00A4326A">
        <w:rPr>
          <w:color w:val="000000" w:themeColor="text1"/>
        </w:rPr>
        <w:t>aspect</w:t>
      </w:r>
      <w:r w:rsidR="00BE43E7">
        <w:rPr>
          <w:color w:val="000000" w:themeColor="text1"/>
        </w:rPr>
        <w:t xml:space="preserve"> of the </w:t>
      </w:r>
      <w:r w:rsidR="00130425">
        <w:rPr>
          <w:color w:val="000000" w:themeColor="text1"/>
        </w:rPr>
        <w:t>indexical sign</w:t>
      </w:r>
      <w:r w:rsidR="00BE43E7">
        <w:rPr>
          <w:color w:val="000000" w:themeColor="text1"/>
        </w:rPr>
        <w:t>.</w:t>
      </w:r>
      <w:r w:rsidR="00BC1B6F" w:rsidRPr="007F77A1">
        <w:rPr>
          <w:color w:val="000000" w:themeColor="text1"/>
        </w:rPr>
        <w:t xml:space="preserve"> </w:t>
      </w:r>
      <w:r w:rsidR="007A61E0">
        <w:rPr>
          <w:color w:val="000000" w:themeColor="text1"/>
        </w:rPr>
        <w:t>In case the message is not already clear</w:t>
      </w:r>
      <w:r w:rsidR="00BC1B6F" w:rsidRPr="007F77A1">
        <w:rPr>
          <w:color w:val="000000" w:themeColor="text1"/>
        </w:rPr>
        <w:t xml:space="preserve">, </w:t>
      </w:r>
      <w:r w:rsidR="00217558">
        <w:rPr>
          <w:color w:val="000000" w:themeColor="text1"/>
        </w:rPr>
        <w:t>Krauss adds</w:t>
      </w:r>
      <w:r w:rsidR="00A857E4">
        <w:rPr>
          <w:color w:val="000000" w:themeColor="text1"/>
        </w:rPr>
        <w:t xml:space="preserve">, </w:t>
      </w:r>
      <w:r w:rsidR="00BC1B6F" w:rsidRPr="007F77A1">
        <w:rPr>
          <w:color w:val="000000" w:themeColor="text1"/>
        </w:rPr>
        <w:t xml:space="preserve">Duchamp paints an image of a hand with a pointing finger in the middle of the canvas. </w:t>
      </w:r>
      <w:r w:rsidR="00D02BA9">
        <w:rPr>
          <w:color w:val="000000" w:themeColor="text1"/>
        </w:rPr>
        <w:t>B</w:t>
      </w:r>
      <w:r w:rsidR="00BC1B6F" w:rsidRPr="007F77A1">
        <w:rPr>
          <w:color w:val="000000" w:themeColor="text1"/>
        </w:rPr>
        <w:t xml:space="preserve">oth the trace function and the indicative </w:t>
      </w:r>
      <w:r w:rsidR="00BC1B6F" w:rsidRPr="007F77A1">
        <w:rPr>
          <w:color w:val="000000" w:themeColor="text1"/>
        </w:rPr>
        <w:lastRenderedPageBreak/>
        <w:t xml:space="preserve">(pointing) function of the Index are presented in Duchamp’s painting.  </w:t>
      </w:r>
      <w:r w:rsidR="00BE43E7">
        <w:rPr>
          <w:color w:val="000000" w:themeColor="text1"/>
        </w:rPr>
        <w:t>As Krauss reads the painting, t</w:t>
      </w:r>
      <w:r w:rsidR="00BC1B6F" w:rsidRPr="007F77A1">
        <w:rPr>
          <w:color w:val="000000" w:themeColor="text1"/>
        </w:rPr>
        <w:t xml:space="preserve">he title of two pronouns, </w:t>
      </w:r>
      <w:r w:rsidR="00BC1B6F" w:rsidRPr="007F77A1">
        <w:rPr>
          <w:i/>
          <w:iCs/>
          <w:color w:val="000000" w:themeColor="text1"/>
        </w:rPr>
        <w:t>Tu M’</w:t>
      </w:r>
      <w:r w:rsidR="00BC1B6F" w:rsidRPr="007F77A1">
        <w:rPr>
          <w:color w:val="000000" w:themeColor="text1"/>
        </w:rPr>
        <w:t xml:space="preserve">, enfolds the theory of the Shifter, </w:t>
      </w:r>
      <w:r w:rsidR="00FB0B9E" w:rsidRPr="007F77A1">
        <w:rPr>
          <w:color w:val="000000" w:themeColor="text1"/>
        </w:rPr>
        <w:t xml:space="preserve">which </w:t>
      </w:r>
      <w:r w:rsidR="00BE43E7">
        <w:rPr>
          <w:color w:val="000000" w:themeColor="text1"/>
        </w:rPr>
        <w:t>she</w:t>
      </w:r>
      <w:r w:rsidR="00FB0B9E" w:rsidRPr="007F77A1">
        <w:rPr>
          <w:color w:val="000000" w:themeColor="text1"/>
        </w:rPr>
        <w:t xml:space="preserve"> elaborates </w:t>
      </w:r>
      <w:proofErr w:type="gramStart"/>
      <w:r w:rsidR="00FB0B9E" w:rsidRPr="007F77A1">
        <w:rPr>
          <w:color w:val="000000" w:themeColor="text1"/>
        </w:rPr>
        <w:t xml:space="preserve">as </w:t>
      </w:r>
      <w:r w:rsidR="003B7204">
        <w:rPr>
          <w:color w:val="000000" w:themeColor="text1"/>
        </w:rPr>
        <w:t>yet</w:t>
      </w:r>
      <w:proofErr w:type="gramEnd"/>
      <w:r w:rsidR="003B7204">
        <w:rPr>
          <w:color w:val="000000" w:themeColor="text1"/>
        </w:rPr>
        <w:t xml:space="preserve"> </w:t>
      </w:r>
      <w:r w:rsidR="00BC1B6F" w:rsidRPr="007F77A1">
        <w:rPr>
          <w:color w:val="000000" w:themeColor="text1"/>
        </w:rPr>
        <w:t>another expression of the Index. (Krauss, 1977, 198-199)</w:t>
      </w:r>
      <w:r w:rsidR="006F2343" w:rsidRPr="007F77A1">
        <w:rPr>
          <w:color w:val="000000" w:themeColor="text1"/>
        </w:rPr>
        <w:t xml:space="preserve"> </w:t>
      </w:r>
      <w:r w:rsidR="00FB0B9E" w:rsidRPr="007F77A1">
        <w:rPr>
          <w:color w:val="000000" w:themeColor="text1"/>
        </w:rPr>
        <w:t xml:space="preserve">The Shifter is the site where the seemingly opposing functions of </w:t>
      </w:r>
      <w:r w:rsidR="00FB0B9E" w:rsidRPr="007F77A1">
        <w:rPr>
          <w:i/>
          <w:iCs/>
          <w:color w:val="000000" w:themeColor="text1"/>
        </w:rPr>
        <w:t xml:space="preserve">trace </w:t>
      </w:r>
      <w:r w:rsidR="00FB0B9E" w:rsidRPr="007F77A1">
        <w:rPr>
          <w:color w:val="000000" w:themeColor="text1"/>
        </w:rPr>
        <w:t xml:space="preserve">and </w:t>
      </w:r>
      <w:r w:rsidR="00FB0B9E" w:rsidRPr="007F77A1">
        <w:rPr>
          <w:i/>
          <w:iCs/>
          <w:color w:val="000000" w:themeColor="text1"/>
        </w:rPr>
        <w:t>deixis</w:t>
      </w:r>
      <w:r w:rsidR="00FB0B9E" w:rsidRPr="007F77A1">
        <w:rPr>
          <w:color w:val="000000" w:themeColor="text1"/>
        </w:rPr>
        <w:t xml:space="preserve"> come together with generative possibility.</w:t>
      </w:r>
    </w:p>
    <w:p w14:paraId="175A49FD" w14:textId="620935CE" w:rsidR="00A746A2" w:rsidRDefault="00A746A2" w:rsidP="00A746A2">
      <w:pPr>
        <w:pStyle w:val="NormalWeb"/>
        <w:spacing w:line="480" w:lineRule="auto"/>
        <w:rPr>
          <w:b/>
          <w:bCs/>
          <w:color w:val="000000" w:themeColor="text1"/>
        </w:rPr>
      </w:pPr>
      <w:r>
        <w:rPr>
          <w:color w:val="000000" w:themeColor="text1"/>
          <w:u w:val="single"/>
        </w:rPr>
        <w:t xml:space="preserve">Presenting… The Shifter </w:t>
      </w:r>
    </w:p>
    <w:p w14:paraId="3916CD84" w14:textId="1FD85014" w:rsidR="00B202C0" w:rsidRDefault="00B202C0" w:rsidP="001F67E1">
      <w:pPr>
        <w:pStyle w:val="NormalWeb"/>
        <w:spacing w:before="0" w:beforeAutospacing="0" w:line="480" w:lineRule="auto"/>
        <w:ind w:firstLine="720"/>
        <w:rPr>
          <w:color w:val="000000" w:themeColor="text1"/>
        </w:rPr>
      </w:pPr>
      <w:r>
        <w:rPr>
          <w:color w:val="000000" w:themeColor="text1"/>
        </w:rPr>
        <w:t>In this section I am presenting ‘The Shifter.’  But the Shifter also always presents itself</w:t>
      </w:r>
      <w:r w:rsidR="00AF1BBF">
        <w:rPr>
          <w:color w:val="000000" w:themeColor="text1"/>
        </w:rPr>
        <w:t xml:space="preserve">, </w:t>
      </w:r>
      <w:r>
        <w:rPr>
          <w:color w:val="000000" w:themeColor="text1"/>
        </w:rPr>
        <w:t xml:space="preserve">in its present moment. </w:t>
      </w:r>
    </w:p>
    <w:p w14:paraId="01C560CF" w14:textId="3479D11A" w:rsidR="0095639E" w:rsidRDefault="0095639E" w:rsidP="00BA2E48">
      <w:pPr>
        <w:pStyle w:val="NormalWeb"/>
        <w:spacing w:before="0" w:beforeAutospacing="0" w:line="480" w:lineRule="auto"/>
        <w:ind w:firstLine="720"/>
        <w:rPr>
          <w:color w:val="000000" w:themeColor="text1"/>
        </w:rPr>
      </w:pPr>
      <w:r>
        <w:rPr>
          <w:color w:val="000000" w:themeColor="text1"/>
        </w:rPr>
        <w:t xml:space="preserve">The linguistic category of the Shifter has </w:t>
      </w:r>
      <w:r w:rsidR="007C5B65">
        <w:rPr>
          <w:color w:val="000000" w:themeColor="text1"/>
        </w:rPr>
        <w:t xml:space="preserve">been adopted as a rich theoretical rubric </w:t>
      </w:r>
      <w:r>
        <w:rPr>
          <w:color w:val="000000" w:themeColor="text1"/>
        </w:rPr>
        <w:t xml:space="preserve">within linguistics, </w:t>
      </w:r>
      <w:proofErr w:type="spellStart"/>
      <w:r>
        <w:rPr>
          <w:color w:val="000000" w:themeColor="text1"/>
        </w:rPr>
        <w:t>psychona</w:t>
      </w:r>
      <w:r w:rsidR="00B8681D">
        <w:rPr>
          <w:color w:val="000000" w:themeColor="text1"/>
        </w:rPr>
        <w:t>na</w:t>
      </w:r>
      <w:r>
        <w:rPr>
          <w:color w:val="000000" w:themeColor="text1"/>
        </w:rPr>
        <w:t>lysis</w:t>
      </w:r>
      <w:proofErr w:type="spellEnd"/>
      <w:r>
        <w:rPr>
          <w:color w:val="000000" w:themeColor="text1"/>
        </w:rPr>
        <w:t>, and art</w:t>
      </w:r>
      <w:r w:rsidR="002F0C50">
        <w:rPr>
          <w:color w:val="000000" w:themeColor="text1"/>
        </w:rPr>
        <w:t xml:space="preserve"> history</w:t>
      </w:r>
      <w:r>
        <w:rPr>
          <w:color w:val="000000" w:themeColor="text1"/>
        </w:rPr>
        <w:t xml:space="preserve">. Krauss’s </w:t>
      </w:r>
      <w:r w:rsidR="001957C2">
        <w:rPr>
          <w:color w:val="000000" w:themeColor="text1"/>
        </w:rPr>
        <w:t>implementation</w:t>
      </w:r>
      <w:r w:rsidR="00D75D85">
        <w:rPr>
          <w:color w:val="000000" w:themeColor="text1"/>
        </w:rPr>
        <w:t xml:space="preserve"> </w:t>
      </w:r>
      <w:r>
        <w:rPr>
          <w:color w:val="000000" w:themeColor="text1"/>
        </w:rPr>
        <w:t xml:space="preserve">of </w:t>
      </w:r>
      <w:r w:rsidR="001C14AA">
        <w:rPr>
          <w:color w:val="000000" w:themeColor="text1"/>
        </w:rPr>
        <w:t>i</w:t>
      </w:r>
      <w:r>
        <w:rPr>
          <w:color w:val="000000" w:themeColor="text1"/>
        </w:rPr>
        <w:t>ndexical</w:t>
      </w:r>
      <w:r w:rsidR="00D75D85">
        <w:rPr>
          <w:color w:val="000000" w:themeColor="text1"/>
        </w:rPr>
        <w:t xml:space="preserve"> reading</w:t>
      </w:r>
      <w:r>
        <w:rPr>
          <w:color w:val="000000" w:themeColor="text1"/>
        </w:rPr>
        <w:t xml:space="preserve"> serves here as a template for understanding </w:t>
      </w:r>
      <w:r w:rsidR="008C0D82">
        <w:rPr>
          <w:color w:val="000000" w:themeColor="text1"/>
        </w:rPr>
        <w:t>the</w:t>
      </w:r>
      <w:r>
        <w:rPr>
          <w:color w:val="000000" w:themeColor="text1"/>
        </w:rPr>
        <w:t xml:space="preserve"> importa</w:t>
      </w:r>
      <w:r w:rsidR="008C0D82">
        <w:rPr>
          <w:color w:val="000000" w:themeColor="text1"/>
        </w:rPr>
        <w:t>nt role</w:t>
      </w:r>
      <w:r>
        <w:rPr>
          <w:color w:val="000000" w:themeColor="text1"/>
        </w:rPr>
        <w:t xml:space="preserve"> </w:t>
      </w:r>
      <w:r w:rsidR="008C0D82">
        <w:rPr>
          <w:color w:val="000000" w:themeColor="text1"/>
        </w:rPr>
        <w:t xml:space="preserve">of indexicality </w:t>
      </w:r>
      <w:r>
        <w:rPr>
          <w:color w:val="000000" w:themeColor="text1"/>
        </w:rPr>
        <w:t xml:space="preserve">in illustration, and for </w:t>
      </w:r>
      <w:r w:rsidR="00EE7CDB">
        <w:rPr>
          <w:color w:val="000000" w:themeColor="text1"/>
        </w:rPr>
        <w:t xml:space="preserve">recognizing </w:t>
      </w:r>
      <w:r w:rsidR="008C0D82">
        <w:rPr>
          <w:color w:val="000000" w:themeColor="text1"/>
        </w:rPr>
        <w:t xml:space="preserve">the exemplarity of this critical </w:t>
      </w:r>
      <w:r w:rsidR="0002724B">
        <w:rPr>
          <w:color w:val="000000" w:themeColor="text1"/>
        </w:rPr>
        <w:t xml:space="preserve">framework </w:t>
      </w:r>
      <w:r>
        <w:rPr>
          <w:color w:val="000000" w:themeColor="text1"/>
        </w:rPr>
        <w:t xml:space="preserve">in the </w:t>
      </w:r>
      <w:r w:rsidR="0002724B">
        <w:rPr>
          <w:color w:val="000000" w:themeColor="text1"/>
        </w:rPr>
        <w:t>graphic reportage</w:t>
      </w:r>
      <w:r>
        <w:rPr>
          <w:color w:val="000000" w:themeColor="text1"/>
        </w:rPr>
        <w:t xml:space="preserve"> of Humphreys and Kugler</w:t>
      </w:r>
      <w:r w:rsidR="008C0D82">
        <w:rPr>
          <w:color w:val="000000" w:themeColor="text1"/>
        </w:rPr>
        <w:t xml:space="preserve">. I propose that </w:t>
      </w:r>
      <w:r w:rsidR="008C0D82">
        <w:rPr>
          <w:i/>
          <w:iCs/>
          <w:color w:val="000000" w:themeColor="text1"/>
        </w:rPr>
        <w:t>The Great Fish &amp; Chips</w:t>
      </w:r>
      <w:r>
        <w:rPr>
          <w:color w:val="000000" w:themeColor="text1"/>
        </w:rPr>
        <w:t xml:space="preserve"> present</w:t>
      </w:r>
      <w:r w:rsidR="008C0D82">
        <w:rPr>
          <w:color w:val="000000" w:themeColor="text1"/>
        </w:rPr>
        <w:t>s</w:t>
      </w:r>
      <w:r>
        <w:rPr>
          <w:color w:val="000000" w:themeColor="text1"/>
        </w:rPr>
        <w:t xml:space="preserve"> the national dish Fish and Chips as a Shifter figure. But what </w:t>
      </w:r>
      <w:r w:rsidR="008C0D82">
        <w:rPr>
          <w:color w:val="000000" w:themeColor="text1"/>
        </w:rPr>
        <w:t>exactly is</w:t>
      </w:r>
      <w:r w:rsidR="009F3B0B">
        <w:rPr>
          <w:color w:val="000000" w:themeColor="text1"/>
        </w:rPr>
        <w:t xml:space="preserve"> a</w:t>
      </w:r>
      <w:r>
        <w:rPr>
          <w:color w:val="000000" w:themeColor="text1"/>
        </w:rPr>
        <w:t xml:space="preserve"> Shifter?</w:t>
      </w:r>
    </w:p>
    <w:p w14:paraId="28DA2283" w14:textId="3CF28CC3" w:rsidR="00BA2E48" w:rsidRPr="00ED1397" w:rsidRDefault="00480237" w:rsidP="002617A0">
      <w:pPr>
        <w:pStyle w:val="NormalWeb"/>
        <w:spacing w:before="0" w:beforeAutospacing="0" w:line="480" w:lineRule="auto"/>
        <w:ind w:firstLine="720"/>
        <w:rPr>
          <w:color w:val="000000" w:themeColor="text1"/>
        </w:rPr>
      </w:pPr>
      <w:r w:rsidRPr="00ED1397">
        <w:rPr>
          <w:color w:val="000000" w:themeColor="text1"/>
        </w:rPr>
        <w:t>Krauss’s ‘Notes</w:t>
      </w:r>
      <w:r w:rsidR="0095639E" w:rsidRPr="00ED1397">
        <w:rPr>
          <w:color w:val="000000" w:themeColor="text1"/>
        </w:rPr>
        <w:t xml:space="preserve"> on the Index</w:t>
      </w:r>
      <w:r w:rsidRPr="00ED1397">
        <w:rPr>
          <w:color w:val="000000" w:themeColor="text1"/>
        </w:rPr>
        <w:t xml:space="preserve">’ </w:t>
      </w:r>
      <w:r w:rsidR="00E83A50">
        <w:rPr>
          <w:color w:val="000000" w:themeColor="text1"/>
        </w:rPr>
        <w:t>remarks upon</w:t>
      </w:r>
      <w:r w:rsidRPr="00ED1397">
        <w:rPr>
          <w:color w:val="000000" w:themeColor="text1"/>
        </w:rPr>
        <w:t xml:space="preserve"> the early Postmodern embrace of multiple voices in contemporary art that, though diverse by virtue of its postmodern awakenings, also exhibited a forthright insertion of the individual artist’s presence. Looking at Vito Acconci’s work </w:t>
      </w:r>
      <w:r w:rsidRPr="00ED1397">
        <w:rPr>
          <w:i/>
          <w:iCs/>
          <w:color w:val="000000" w:themeColor="text1"/>
        </w:rPr>
        <w:t xml:space="preserve">Airtime </w:t>
      </w:r>
      <w:r w:rsidRPr="00ED1397">
        <w:rPr>
          <w:color w:val="000000" w:themeColor="text1"/>
        </w:rPr>
        <w:t xml:space="preserve">(1973), she considers the </w:t>
      </w:r>
      <w:r w:rsidR="00690926">
        <w:rPr>
          <w:color w:val="000000" w:themeColor="text1"/>
        </w:rPr>
        <w:t>presentation</w:t>
      </w:r>
      <w:r w:rsidRPr="00ED1397">
        <w:rPr>
          <w:color w:val="000000" w:themeColor="text1"/>
        </w:rPr>
        <w:t xml:space="preserve"> of narcissistic subjectivity that Acconci complicates by his inclusion of confused pronouns: he refers to himself both as ‘I’ and as ‘you’ in the work. This teetering between the speaker ‘I’ and the speaker ‘You’ in the artwork allows Krauss to </w:t>
      </w:r>
      <w:proofErr w:type="gramStart"/>
      <w:r w:rsidRPr="00ED1397">
        <w:rPr>
          <w:color w:val="000000" w:themeColor="text1"/>
        </w:rPr>
        <w:t>open up</w:t>
      </w:r>
      <w:proofErr w:type="gramEnd"/>
      <w:r w:rsidRPr="00ED1397">
        <w:rPr>
          <w:color w:val="000000" w:themeColor="text1"/>
        </w:rPr>
        <w:t xml:space="preserve"> the linguistic category elaborated by structuralist linguist Roman Jakobson later to be adopted by the psychoanalyst Jacques Lacan: the Shifter.</w:t>
      </w:r>
      <w:r w:rsidR="00C31E64" w:rsidRPr="00ED1397">
        <w:rPr>
          <w:color w:val="000000" w:themeColor="text1"/>
        </w:rPr>
        <w:t xml:space="preserve"> </w:t>
      </w:r>
      <w:r w:rsidR="0095639E" w:rsidRPr="00ED1397">
        <w:rPr>
          <w:color w:val="000000" w:themeColor="text1"/>
        </w:rPr>
        <w:t>F</w:t>
      </w:r>
      <w:r w:rsidRPr="00ED1397">
        <w:rPr>
          <w:color w:val="000000" w:themeColor="text1"/>
        </w:rPr>
        <w:t xml:space="preserve">or Krauss, Seventies art should be understood through a play of </w:t>
      </w:r>
      <w:r w:rsidRPr="00ED1397">
        <w:rPr>
          <w:color w:val="000000" w:themeColor="text1"/>
        </w:rPr>
        <w:lastRenderedPageBreak/>
        <w:t>pronouns which tap into ‘the gymnastics of the “empty” pronominal sign.’</w:t>
      </w:r>
      <w:r w:rsidR="00C31E64" w:rsidRPr="00ED1397">
        <w:rPr>
          <w:color w:val="000000" w:themeColor="text1"/>
        </w:rPr>
        <w:t xml:space="preserve"> (Krauss, 1977, 69</w:t>
      </w:r>
      <w:proofErr w:type="gramStart"/>
      <w:r w:rsidR="00C31E64" w:rsidRPr="00ED1397">
        <w:rPr>
          <w:color w:val="000000" w:themeColor="text1"/>
        </w:rPr>
        <w:t xml:space="preserve">)  </w:t>
      </w:r>
      <w:r w:rsidRPr="00ED1397">
        <w:rPr>
          <w:color w:val="000000" w:themeColor="text1"/>
        </w:rPr>
        <w:t>This</w:t>
      </w:r>
      <w:proofErr w:type="gramEnd"/>
      <w:r w:rsidRPr="00ED1397">
        <w:rPr>
          <w:color w:val="000000" w:themeColor="text1"/>
        </w:rPr>
        <w:t xml:space="preserve"> ‘gymnastics’ designates an</w:t>
      </w:r>
      <w:r w:rsidR="009C0521">
        <w:rPr>
          <w:color w:val="000000" w:themeColor="text1"/>
        </w:rPr>
        <w:t xml:space="preserve"> </w:t>
      </w:r>
      <w:r w:rsidRPr="00ED1397">
        <w:rPr>
          <w:color w:val="000000" w:themeColor="text1"/>
        </w:rPr>
        <w:t xml:space="preserve">ability to </w:t>
      </w:r>
      <w:r w:rsidR="009C0521">
        <w:rPr>
          <w:color w:val="000000" w:themeColor="text1"/>
        </w:rPr>
        <w:t>traverse</w:t>
      </w:r>
      <w:r w:rsidRPr="00ED1397">
        <w:rPr>
          <w:color w:val="000000" w:themeColor="text1"/>
        </w:rPr>
        <w:t xml:space="preserve"> signification.  </w:t>
      </w:r>
      <w:r w:rsidR="008449AC">
        <w:rPr>
          <w:color w:val="000000" w:themeColor="text1"/>
        </w:rPr>
        <w:t>What is at stake f</w:t>
      </w:r>
      <w:r w:rsidR="00BA2E48" w:rsidRPr="00ED1397">
        <w:rPr>
          <w:color w:val="000000" w:themeColor="text1"/>
        </w:rPr>
        <w:t>or Krauss</w:t>
      </w:r>
      <w:r w:rsidR="00B95094">
        <w:rPr>
          <w:color w:val="000000" w:themeColor="text1"/>
        </w:rPr>
        <w:t xml:space="preserve"> </w:t>
      </w:r>
      <w:r w:rsidR="00B95094" w:rsidRPr="00ED1397">
        <w:rPr>
          <w:color w:val="000000" w:themeColor="text1"/>
        </w:rPr>
        <w:t xml:space="preserve">in </w:t>
      </w:r>
      <w:r w:rsidR="00B95094">
        <w:rPr>
          <w:color w:val="000000" w:themeColor="text1"/>
        </w:rPr>
        <w:t>embracing</w:t>
      </w:r>
      <w:r w:rsidR="00B95094" w:rsidRPr="00ED1397">
        <w:rPr>
          <w:color w:val="000000" w:themeColor="text1"/>
        </w:rPr>
        <w:t xml:space="preserve"> Peirce’s Index</w:t>
      </w:r>
      <w:r w:rsidR="00B95094">
        <w:rPr>
          <w:color w:val="000000" w:themeColor="text1"/>
        </w:rPr>
        <w:t>,</w:t>
      </w:r>
      <w:r w:rsidR="00BA2E48" w:rsidRPr="00ED1397">
        <w:rPr>
          <w:color w:val="000000" w:themeColor="text1"/>
        </w:rPr>
        <w:t xml:space="preserve"> and, following Krauss, </w:t>
      </w:r>
      <w:r w:rsidR="008449AC">
        <w:rPr>
          <w:color w:val="000000" w:themeColor="text1"/>
        </w:rPr>
        <w:t xml:space="preserve">film theorist </w:t>
      </w:r>
      <w:r w:rsidR="00BA2E48" w:rsidRPr="00ED1397">
        <w:rPr>
          <w:color w:val="000000" w:themeColor="text1"/>
        </w:rPr>
        <w:t xml:space="preserve">Doane, is the social disquiet </w:t>
      </w:r>
      <w:r w:rsidR="006E3774" w:rsidRPr="00ED1397">
        <w:rPr>
          <w:color w:val="000000" w:themeColor="text1"/>
        </w:rPr>
        <w:t xml:space="preserve">posed by </w:t>
      </w:r>
      <w:r w:rsidR="006E3774">
        <w:rPr>
          <w:color w:val="000000" w:themeColor="text1"/>
        </w:rPr>
        <w:t xml:space="preserve">postmodernism and </w:t>
      </w:r>
      <w:r w:rsidR="006E3774" w:rsidRPr="00ED1397">
        <w:rPr>
          <w:color w:val="000000" w:themeColor="text1"/>
        </w:rPr>
        <w:t xml:space="preserve">emergent digital media </w:t>
      </w:r>
      <w:r w:rsidR="00BA2E48" w:rsidRPr="00ED1397">
        <w:rPr>
          <w:color w:val="000000" w:themeColor="text1"/>
        </w:rPr>
        <w:t xml:space="preserve">about </w:t>
      </w:r>
      <w:r w:rsidR="006E3774">
        <w:rPr>
          <w:color w:val="000000" w:themeColor="text1"/>
        </w:rPr>
        <w:t>the</w:t>
      </w:r>
      <w:r w:rsidR="00BA2E48" w:rsidRPr="00ED1397">
        <w:rPr>
          <w:color w:val="000000" w:themeColor="text1"/>
        </w:rPr>
        <w:t xml:space="preserve"> looming break </w:t>
      </w:r>
      <w:r w:rsidR="005975D0">
        <w:rPr>
          <w:color w:val="000000" w:themeColor="text1"/>
        </w:rPr>
        <w:t xml:space="preserve">with </w:t>
      </w:r>
      <w:r w:rsidR="0095639E" w:rsidRPr="00ED1397">
        <w:rPr>
          <w:color w:val="000000" w:themeColor="text1"/>
        </w:rPr>
        <w:t>a</w:t>
      </w:r>
      <w:r w:rsidR="006E3774">
        <w:rPr>
          <w:color w:val="000000" w:themeColor="text1"/>
        </w:rPr>
        <w:t>n anchoring</w:t>
      </w:r>
      <w:r w:rsidR="00BA2E48" w:rsidRPr="00ED1397">
        <w:rPr>
          <w:color w:val="000000" w:themeColor="text1"/>
        </w:rPr>
        <w:t xml:space="preserve"> </w:t>
      </w:r>
      <w:r w:rsidR="0095639E" w:rsidRPr="00ED1397">
        <w:rPr>
          <w:color w:val="000000" w:themeColor="text1"/>
        </w:rPr>
        <w:t>referent</w:t>
      </w:r>
      <w:r w:rsidR="00BA2E48" w:rsidRPr="00ED1397">
        <w:rPr>
          <w:color w:val="000000" w:themeColor="text1"/>
        </w:rPr>
        <w:t xml:space="preserve">. </w:t>
      </w:r>
      <w:r w:rsidR="0095639E" w:rsidRPr="00ED1397">
        <w:rPr>
          <w:color w:val="000000" w:themeColor="text1"/>
        </w:rPr>
        <w:t>But this</w:t>
      </w:r>
      <w:r w:rsidR="00BA2E48" w:rsidRPr="00ED1397">
        <w:rPr>
          <w:color w:val="000000" w:themeColor="text1"/>
        </w:rPr>
        <w:t xml:space="preserve"> untethering </w:t>
      </w:r>
      <w:r w:rsidR="0095639E" w:rsidRPr="00ED1397">
        <w:rPr>
          <w:color w:val="000000" w:themeColor="text1"/>
        </w:rPr>
        <w:t xml:space="preserve">from a referent </w:t>
      </w:r>
      <w:r w:rsidR="008449AC">
        <w:rPr>
          <w:color w:val="000000" w:themeColor="text1"/>
        </w:rPr>
        <w:t xml:space="preserve">also </w:t>
      </w:r>
      <w:r w:rsidR="0095639E" w:rsidRPr="00ED1397">
        <w:rPr>
          <w:color w:val="000000" w:themeColor="text1"/>
        </w:rPr>
        <w:t xml:space="preserve">offers </w:t>
      </w:r>
      <w:r w:rsidR="008449AC">
        <w:rPr>
          <w:color w:val="000000" w:themeColor="text1"/>
        </w:rPr>
        <w:t xml:space="preserve">myriad </w:t>
      </w:r>
      <w:r w:rsidR="0095639E" w:rsidRPr="00ED1397">
        <w:rPr>
          <w:color w:val="000000" w:themeColor="text1"/>
        </w:rPr>
        <w:t>possibili</w:t>
      </w:r>
      <w:r w:rsidR="008449AC">
        <w:rPr>
          <w:color w:val="000000" w:themeColor="text1"/>
        </w:rPr>
        <w:t>ties</w:t>
      </w:r>
      <w:r w:rsidR="00F6573A">
        <w:rPr>
          <w:color w:val="000000" w:themeColor="text1"/>
        </w:rPr>
        <w:t xml:space="preserve"> for ‘</w:t>
      </w:r>
      <w:r w:rsidR="00F6573A" w:rsidRPr="00ED1397">
        <w:rPr>
          <w:color w:val="000000" w:themeColor="text1"/>
        </w:rPr>
        <w:t>filling in’</w:t>
      </w:r>
      <w:r w:rsidR="00F6573A">
        <w:rPr>
          <w:color w:val="000000" w:themeColor="text1"/>
        </w:rPr>
        <w:t xml:space="preserve"> an empty sign</w:t>
      </w:r>
      <w:r w:rsidR="00F6573A" w:rsidRPr="00ED1397">
        <w:rPr>
          <w:color w:val="000000" w:themeColor="text1"/>
        </w:rPr>
        <w:t xml:space="preserve"> </w:t>
      </w:r>
      <w:r w:rsidR="00F6573A">
        <w:rPr>
          <w:color w:val="000000" w:themeColor="text1"/>
        </w:rPr>
        <w:t>that are</w:t>
      </w:r>
      <w:r w:rsidR="00F6573A" w:rsidRPr="00ED1397">
        <w:rPr>
          <w:color w:val="000000" w:themeColor="text1"/>
        </w:rPr>
        <w:t xml:space="preserve"> </w:t>
      </w:r>
      <w:r w:rsidR="00F6573A">
        <w:rPr>
          <w:color w:val="000000" w:themeColor="text1"/>
        </w:rPr>
        <w:t xml:space="preserve">flexibly </w:t>
      </w:r>
      <w:r w:rsidR="00F6573A" w:rsidRPr="00ED1397">
        <w:rPr>
          <w:color w:val="000000" w:themeColor="text1"/>
        </w:rPr>
        <w:t xml:space="preserve">specific to </w:t>
      </w:r>
      <w:r w:rsidR="00F6573A">
        <w:rPr>
          <w:color w:val="000000" w:themeColor="text1"/>
        </w:rPr>
        <w:t>changing</w:t>
      </w:r>
      <w:r w:rsidR="00F6573A" w:rsidRPr="00ED1397">
        <w:rPr>
          <w:color w:val="000000" w:themeColor="text1"/>
        </w:rPr>
        <w:t xml:space="preserve"> time</w:t>
      </w:r>
      <w:r w:rsidR="00F6573A">
        <w:rPr>
          <w:color w:val="000000" w:themeColor="text1"/>
        </w:rPr>
        <w:t>s</w:t>
      </w:r>
      <w:r w:rsidR="00F6573A" w:rsidRPr="00ED1397">
        <w:rPr>
          <w:color w:val="000000" w:themeColor="text1"/>
        </w:rPr>
        <w:t>, individual</w:t>
      </w:r>
      <w:r w:rsidR="00F6573A">
        <w:rPr>
          <w:color w:val="000000" w:themeColor="text1"/>
        </w:rPr>
        <w:t>s</w:t>
      </w:r>
      <w:r w:rsidR="00F6573A" w:rsidRPr="00ED1397">
        <w:rPr>
          <w:color w:val="000000" w:themeColor="text1"/>
        </w:rPr>
        <w:t xml:space="preserve">, and </w:t>
      </w:r>
      <w:r w:rsidR="00F6573A">
        <w:rPr>
          <w:color w:val="000000" w:themeColor="text1"/>
        </w:rPr>
        <w:t>locations</w:t>
      </w:r>
      <w:r w:rsidR="00F6573A" w:rsidRPr="00ED1397">
        <w:rPr>
          <w:color w:val="000000" w:themeColor="text1"/>
        </w:rPr>
        <w:t>.</w:t>
      </w:r>
      <w:r w:rsidR="008449AC">
        <w:rPr>
          <w:color w:val="000000" w:themeColor="text1"/>
        </w:rPr>
        <w:t xml:space="preserve"> </w:t>
      </w:r>
      <w:r w:rsidR="00BE25E6" w:rsidRPr="00ED1397">
        <w:rPr>
          <w:color w:val="000000" w:themeColor="text1"/>
        </w:rPr>
        <w:t xml:space="preserve"> </w:t>
      </w:r>
      <w:r w:rsidR="00BA2E48" w:rsidRPr="00ED1397">
        <w:rPr>
          <w:color w:val="000000" w:themeColor="text1"/>
        </w:rPr>
        <w:t>In her important Note 3 of ‘Notes,’ Krauss highlights the paradox of the pronominal Subject, both in grammar and otherwise, worth citing at length for her cl</w:t>
      </w:r>
      <w:r w:rsidR="002617A0">
        <w:rPr>
          <w:color w:val="000000" w:themeColor="text1"/>
        </w:rPr>
        <w:t>a</w:t>
      </w:r>
      <w:r w:rsidR="00BA2E48" w:rsidRPr="00ED1397">
        <w:rPr>
          <w:color w:val="000000" w:themeColor="text1"/>
        </w:rPr>
        <w:t>r</w:t>
      </w:r>
      <w:r w:rsidR="002617A0">
        <w:rPr>
          <w:color w:val="000000" w:themeColor="text1"/>
        </w:rPr>
        <w:t>ity:</w:t>
      </w:r>
      <w:r w:rsidR="00BA2E48" w:rsidRPr="00ED1397">
        <w:rPr>
          <w:color w:val="000000" w:themeColor="text1"/>
        </w:rPr>
        <w:t xml:space="preserve"> </w:t>
      </w:r>
    </w:p>
    <w:p w14:paraId="536ABBCD" w14:textId="49629E6A" w:rsidR="00BA2E48" w:rsidRPr="00ED1397" w:rsidRDefault="00BA2E48" w:rsidP="002617A0">
      <w:pPr>
        <w:pStyle w:val="NormalWeb"/>
        <w:spacing w:before="0" w:beforeAutospacing="0"/>
        <w:ind w:left="1440"/>
        <w:rPr>
          <w:color w:val="000000" w:themeColor="text1"/>
        </w:rPr>
      </w:pPr>
      <w:r w:rsidRPr="00ED1397">
        <w:rPr>
          <w:color w:val="000000" w:themeColor="text1"/>
        </w:rPr>
        <w:t xml:space="preserve">3. The shifter is Jakobson’s term for that category “filled with signification” only because it is “empty.” The word “this” is such a sign, waiting each time it is invoked for its reference to be supplied. “This chair,” “this table,” or “this...” and we point to something lying on the desk. “Not that, </w:t>
      </w:r>
      <w:r w:rsidRPr="00ED1397">
        <w:rPr>
          <w:i/>
          <w:iCs/>
          <w:color w:val="000000" w:themeColor="text1"/>
        </w:rPr>
        <w:t>this</w:t>
      </w:r>
      <w:r w:rsidRPr="00ED1397">
        <w:rPr>
          <w:color w:val="000000" w:themeColor="text1"/>
        </w:rPr>
        <w:t>,” we say. The personal pronouns “I” and “you” are also shifters. As we speak to one another, both of us using “I” and “you”, the referents of those words keep changing places across the space of our conversation. I am the referent of “I” only when I am the one who is speaking. When it is your turn, it belongs to you.</w:t>
      </w:r>
      <w:r w:rsidR="00C824AA" w:rsidRPr="00ED1397">
        <w:rPr>
          <w:color w:val="000000" w:themeColor="text1"/>
        </w:rPr>
        <w:t xml:space="preserve"> (Krauss, 1977, 69) </w:t>
      </w:r>
    </w:p>
    <w:p w14:paraId="3C3BE49F" w14:textId="77777777" w:rsidR="00DF3B0E" w:rsidRDefault="00BA2E48" w:rsidP="00DF3B0E">
      <w:pPr>
        <w:pStyle w:val="NormalWeb"/>
        <w:spacing w:before="0" w:beforeAutospacing="0" w:line="480" w:lineRule="auto"/>
        <w:rPr>
          <w:color w:val="000000" w:themeColor="text1"/>
        </w:rPr>
      </w:pPr>
      <w:r w:rsidRPr="00ED1397">
        <w:rPr>
          <w:color w:val="000000" w:themeColor="text1"/>
        </w:rPr>
        <w:t xml:space="preserve">The shifter’s ‘emptiness’ works to its plenitude, always on offer to be filled up with </w:t>
      </w:r>
      <w:r w:rsidR="00BE25E6" w:rsidRPr="00ED1397">
        <w:rPr>
          <w:color w:val="000000" w:themeColor="text1"/>
        </w:rPr>
        <w:t xml:space="preserve">a different material referent: that of </w:t>
      </w:r>
      <w:r w:rsidRPr="00ED1397">
        <w:rPr>
          <w:color w:val="000000" w:themeColor="text1"/>
        </w:rPr>
        <w:t xml:space="preserve">the here and the now. </w:t>
      </w:r>
      <w:r w:rsidR="008424F0">
        <w:rPr>
          <w:color w:val="000000" w:themeColor="text1"/>
        </w:rPr>
        <w:t xml:space="preserve">Roman </w:t>
      </w:r>
      <w:r w:rsidRPr="00ED1397">
        <w:rPr>
          <w:color w:val="000000" w:themeColor="text1"/>
        </w:rPr>
        <w:t xml:space="preserve">Jakobson’s </w:t>
      </w:r>
      <w:r w:rsidR="00B50562">
        <w:rPr>
          <w:color w:val="000000" w:themeColor="text1"/>
        </w:rPr>
        <w:t>S</w:t>
      </w:r>
      <w:r w:rsidRPr="00ED1397">
        <w:rPr>
          <w:color w:val="000000" w:themeColor="text1"/>
        </w:rPr>
        <w:t>hifter sits within Peirce’s broader ‘deictic’</w:t>
      </w:r>
      <w:r w:rsidR="00BE25E6" w:rsidRPr="00ED1397">
        <w:rPr>
          <w:color w:val="000000" w:themeColor="text1"/>
        </w:rPr>
        <w:t xml:space="preserve"> or pointing</w:t>
      </w:r>
      <w:r w:rsidRPr="00ED1397">
        <w:rPr>
          <w:color w:val="000000" w:themeColor="text1"/>
        </w:rPr>
        <w:t xml:space="preserve"> function of the index in that it can only be contiguous</w:t>
      </w:r>
      <w:r w:rsidR="00B50562">
        <w:rPr>
          <w:color w:val="000000" w:themeColor="text1"/>
        </w:rPr>
        <w:t>.</w:t>
      </w:r>
      <w:r w:rsidR="00A66C1C" w:rsidRPr="00ED1397">
        <w:rPr>
          <w:color w:val="000000" w:themeColor="text1"/>
        </w:rPr>
        <w:t xml:space="preserve"> </w:t>
      </w:r>
      <w:r w:rsidR="00B50562">
        <w:rPr>
          <w:color w:val="000000" w:themeColor="text1"/>
        </w:rPr>
        <w:t>F</w:t>
      </w:r>
      <w:r w:rsidR="00A66C1C" w:rsidRPr="00ED1397">
        <w:rPr>
          <w:color w:val="000000" w:themeColor="text1"/>
        </w:rPr>
        <w:t>or example, the words ‘this</w:t>
      </w:r>
      <w:r w:rsidR="00FB3AA7">
        <w:rPr>
          <w:color w:val="000000" w:themeColor="text1"/>
        </w:rPr>
        <w:t>,</w:t>
      </w:r>
      <w:r w:rsidR="00A66C1C" w:rsidRPr="00ED1397">
        <w:rPr>
          <w:color w:val="000000" w:themeColor="text1"/>
        </w:rPr>
        <w:t>’ and first and second person pronouns</w:t>
      </w:r>
      <w:r w:rsidR="00B51CF8">
        <w:rPr>
          <w:color w:val="000000" w:themeColor="text1"/>
        </w:rPr>
        <w:t xml:space="preserve"> ‘I’ and ‘you’</w:t>
      </w:r>
      <w:r w:rsidR="00A66C1C" w:rsidRPr="00ED1397">
        <w:rPr>
          <w:color w:val="000000" w:themeColor="text1"/>
        </w:rPr>
        <w:t xml:space="preserve"> are </w:t>
      </w:r>
      <w:r w:rsidR="00FB3AA7">
        <w:rPr>
          <w:color w:val="000000" w:themeColor="text1"/>
        </w:rPr>
        <w:t>primary</w:t>
      </w:r>
      <w:r w:rsidR="00A66C1C" w:rsidRPr="00ED1397">
        <w:rPr>
          <w:color w:val="000000" w:themeColor="text1"/>
        </w:rPr>
        <w:t xml:space="preserve"> cases of shifters, because </w:t>
      </w:r>
      <w:r w:rsidR="00B50562">
        <w:rPr>
          <w:color w:val="000000" w:themeColor="text1"/>
        </w:rPr>
        <w:t xml:space="preserve">their </w:t>
      </w:r>
      <w:r w:rsidR="00A66C1C" w:rsidRPr="00ED1397">
        <w:rPr>
          <w:color w:val="000000" w:themeColor="text1"/>
        </w:rPr>
        <w:t xml:space="preserve">meaning is always contingent on the time and place </w:t>
      </w:r>
      <w:r w:rsidR="002A2FA6">
        <w:rPr>
          <w:color w:val="000000" w:themeColor="text1"/>
        </w:rPr>
        <w:t>at which</w:t>
      </w:r>
      <w:r w:rsidR="00A66C1C" w:rsidRPr="00ED1397">
        <w:rPr>
          <w:color w:val="000000" w:themeColor="text1"/>
        </w:rPr>
        <w:t xml:space="preserve"> </w:t>
      </w:r>
      <w:r w:rsidR="00B50562">
        <w:rPr>
          <w:color w:val="000000" w:themeColor="text1"/>
        </w:rPr>
        <w:t>they are</w:t>
      </w:r>
      <w:r w:rsidR="00A66C1C" w:rsidRPr="00ED1397">
        <w:rPr>
          <w:color w:val="000000" w:themeColor="text1"/>
        </w:rPr>
        <w:t xml:space="preserve"> used.</w:t>
      </w:r>
      <w:r w:rsidR="0019117D" w:rsidRPr="00ED1397">
        <w:rPr>
          <w:rStyle w:val="EndnoteReference"/>
          <w:color w:val="000000" w:themeColor="text1"/>
        </w:rPr>
        <w:endnoteReference w:id="10"/>
      </w:r>
      <w:r w:rsidR="0019117D" w:rsidRPr="00ED1397">
        <w:rPr>
          <w:color w:val="000000" w:themeColor="text1"/>
        </w:rPr>
        <w:t xml:space="preserve">    </w:t>
      </w:r>
    </w:p>
    <w:p w14:paraId="02425A82" w14:textId="262A34E4" w:rsidR="0063618F" w:rsidRDefault="00BA2E48" w:rsidP="00DF3B0E">
      <w:pPr>
        <w:pStyle w:val="NormalWeb"/>
        <w:spacing w:before="0" w:beforeAutospacing="0" w:line="480" w:lineRule="auto"/>
        <w:ind w:firstLine="720"/>
        <w:rPr>
          <w:color w:val="000000" w:themeColor="text1"/>
        </w:rPr>
      </w:pPr>
      <w:r w:rsidRPr="00ED1397">
        <w:rPr>
          <w:color w:val="000000" w:themeColor="text1"/>
        </w:rPr>
        <w:t xml:space="preserve">In </w:t>
      </w:r>
      <w:r w:rsidRPr="00ED1397">
        <w:rPr>
          <w:i/>
          <w:iCs/>
          <w:color w:val="000000" w:themeColor="text1"/>
        </w:rPr>
        <w:t>The Great British Fish &amp; Chips</w:t>
      </w:r>
      <w:r w:rsidRPr="00ED1397">
        <w:rPr>
          <w:color w:val="000000" w:themeColor="text1"/>
        </w:rPr>
        <w:t xml:space="preserve">, </w:t>
      </w:r>
      <w:r w:rsidR="00B65859" w:rsidRPr="00ED1397">
        <w:rPr>
          <w:color w:val="000000" w:themeColor="text1"/>
        </w:rPr>
        <w:t>Humphreys and Kugler</w:t>
      </w:r>
      <w:r w:rsidRPr="00ED1397">
        <w:rPr>
          <w:color w:val="000000" w:themeColor="text1"/>
        </w:rPr>
        <w:t xml:space="preserve"> present us with</w:t>
      </w:r>
      <w:r w:rsidR="00B65859" w:rsidRPr="00ED1397">
        <w:rPr>
          <w:color w:val="000000" w:themeColor="text1"/>
        </w:rPr>
        <w:t xml:space="preserve"> </w:t>
      </w:r>
      <w:r w:rsidRPr="00ED1397">
        <w:rPr>
          <w:color w:val="000000" w:themeColor="text1"/>
        </w:rPr>
        <w:t xml:space="preserve">‘here and now’ examples in the production chain, captured through indexical </w:t>
      </w:r>
      <w:r w:rsidR="00BE25E6" w:rsidRPr="00ED1397">
        <w:rPr>
          <w:color w:val="000000" w:themeColor="text1"/>
        </w:rPr>
        <w:t>practices</w:t>
      </w:r>
      <w:r w:rsidRPr="00ED1397">
        <w:rPr>
          <w:color w:val="000000" w:themeColor="text1"/>
        </w:rPr>
        <w:t xml:space="preserve"> such as interviewing, hand-drawing,</w:t>
      </w:r>
      <w:r w:rsidR="00BE25E6" w:rsidRPr="00ED1397">
        <w:rPr>
          <w:color w:val="000000" w:themeColor="text1"/>
        </w:rPr>
        <w:t xml:space="preserve"> and</w:t>
      </w:r>
      <w:r w:rsidRPr="00ED1397">
        <w:rPr>
          <w:color w:val="000000" w:themeColor="text1"/>
        </w:rPr>
        <w:t xml:space="preserve"> photographing. In th</w:t>
      </w:r>
      <w:r w:rsidR="00D6010E">
        <w:rPr>
          <w:color w:val="000000" w:themeColor="text1"/>
        </w:rPr>
        <w:t>e</w:t>
      </w:r>
      <w:r w:rsidR="00B65859" w:rsidRPr="00ED1397">
        <w:rPr>
          <w:color w:val="000000" w:themeColor="text1"/>
        </w:rPr>
        <w:t>s</w:t>
      </w:r>
      <w:r w:rsidR="00D6010E">
        <w:rPr>
          <w:color w:val="000000" w:themeColor="text1"/>
        </w:rPr>
        <w:t>e</w:t>
      </w:r>
      <w:r w:rsidR="00B65859" w:rsidRPr="00ED1397">
        <w:rPr>
          <w:color w:val="000000" w:themeColor="text1"/>
        </w:rPr>
        <w:t xml:space="preserve"> practice</w:t>
      </w:r>
      <w:r w:rsidR="00D6010E">
        <w:rPr>
          <w:color w:val="000000" w:themeColor="text1"/>
        </w:rPr>
        <w:t>s</w:t>
      </w:r>
      <w:r w:rsidR="00B65859" w:rsidRPr="00ED1397">
        <w:rPr>
          <w:color w:val="000000" w:themeColor="text1"/>
        </w:rPr>
        <w:t xml:space="preserve"> of </w:t>
      </w:r>
      <w:r w:rsidRPr="00ED1397">
        <w:rPr>
          <w:color w:val="000000" w:themeColor="text1"/>
        </w:rPr>
        <w:t xml:space="preserve">graphic storytelling, each depicted named individual </w:t>
      </w:r>
      <w:r w:rsidR="00ED1397">
        <w:rPr>
          <w:color w:val="000000" w:themeColor="text1"/>
        </w:rPr>
        <w:t>stands</w:t>
      </w:r>
      <w:r w:rsidRPr="00ED1397">
        <w:rPr>
          <w:color w:val="000000" w:themeColor="text1"/>
        </w:rPr>
        <w:t xml:space="preserve"> </w:t>
      </w:r>
      <w:r w:rsidR="0035001F" w:rsidRPr="00ED1397">
        <w:rPr>
          <w:color w:val="000000" w:themeColor="text1"/>
        </w:rPr>
        <w:t xml:space="preserve">in </w:t>
      </w:r>
      <w:r w:rsidR="00ED1397">
        <w:rPr>
          <w:color w:val="000000" w:themeColor="text1"/>
        </w:rPr>
        <w:t xml:space="preserve">for </w:t>
      </w:r>
      <w:r w:rsidR="004A1188">
        <w:rPr>
          <w:color w:val="000000" w:themeColor="text1"/>
        </w:rPr>
        <w:t xml:space="preserve">the ‘this’; the speaking ‘I’ and the addressed ‘you’, making </w:t>
      </w:r>
      <w:r w:rsidR="00B65859" w:rsidRPr="00ED1397">
        <w:rPr>
          <w:color w:val="000000" w:themeColor="text1"/>
        </w:rPr>
        <w:t xml:space="preserve">more and more </w:t>
      </w:r>
      <w:r w:rsidR="0035001F" w:rsidRPr="00ED1397">
        <w:rPr>
          <w:color w:val="000000" w:themeColor="text1"/>
        </w:rPr>
        <w:t>apparent</w:t>
      </w:r>
      <w:r w:rsidR="00E54DB0">
        <w:rPr>
          <w:color w:val="000000" w:themeColor="text1"/>
        </w:rPr>
        <w:t xml:space="preserve"> to the reader</w:t>
      </w:r>
      <w:r w:rsidR="0035001F" w:rsidRPr="00ED1397">
        <w:rPr>
          <w:color w:val="000000" w:themeColor="text1"/>
        </w:rPr>
        <w:t xml:space="preserve"> the </w:t>
      </w:r>
      <w:r w:rsidR="004A1188">
        <w:rPr>
          <w:color w:val="000000" w:themeColor="text1"/>
        </w:rPr>
        <w:t>shifting referents behind</w:t>
      </w:r>
      <w:r w:rsidR="0035001F" w:rsidRPr="00ED1397">
        <w:rPr>
          <w:color w:val="000000" w:themeColor="text1"/>
        </w:rPr>
        <w:t xml:space="preserve"> ‘national </w:t>
      </w:r>
      <w:r w:rsidR="0035001F" w:rsidRPr="00ED1397">
        <w:rPr>
          <w:color w:val="000000" w:themeColor="text1"/>
        </w:rPr>
        <w:lastRenderedPageBreak/>
        <w:t xml:space="preserve">dish.’ </w:t>
      </w:r>
      <w:r w:rsidR="00D158CD">
        <w:rPr>
          <w:color w:val="000000" w:themeColor="text1"/>
        </w:rPr>
        <w:t>‘</w:t>
      </w:r>
      <w:r w:rsidR="00EA0A68">
        <w:rPr>
          <w:color w:val="000000" w:themeColor="text1"/>
        </w:rPr>
        <w:t>N</w:t>
      </w:r>
      <w:r w:rsidR="00D158CD">
        <w:rPr>
          <w:color w:val="000000" w:themeColor="text1"/>
        </w:rPr>
        <w:t xml:space="preserve">ational dish’ is a constructed figure of general Britishness, which at the same time </w:t>
      </w:r>
      <w:r w:rsidR="00070AC1">
        <w:rPr>
          <w:color w:val="000000" w:themeColor="text1"/>
        </w:rPr>
        <w:t>gets ‘filled in’ with</w:t>
      </w:r>
      <w:r w:rsidR="00D158CD">
        <w:rPr>
          <w:color w:val="000000" w:themeColor="text1"/>
        </w:rPr>
        <w:t xml:space="preserve"> culturally diverse and specific </w:t>
      </w:r>
      <w:r w:rsidR="00721D44">
        <w:rPr>
          <w:color w:val="000000" w:themeColor="text1"/>
        </w:rPr>
        <w:t xml:space="preserve">examples of </w:t>
      </w:r>
      <w:r w:rsidR="00D158CD">
        <w:rPr>
          <w:color w:val="000000" w:themeColor="text1"/>
        </w:rPr>
        <w:t>Britishness</w:t>
      </w:r>
      <w:r w:rsidR="00F71C02">
        <w:rPr>
          <w:color w:val="000000" w:themeColor="text1"/>
        </w:rPr>
        <w:t xml:space="preserve"> (that are not always necessarily even British)</w:t>
      </w:r>
      <w:r w:rsidR="00D158CD">
        <w:rPr>
          <w:color w:val="000000" w:themeColor="text1"/>
        </w:rPr>
        <w:t xml:space="preserve">. </w:t>
      </w:r>
    </w:p>
    <w:p w14:paraId="452D75A5" w14:textId="0FF58F8E" w:rsidR="00F355C8" w:rsidRDefault="00F355C8" w:rsidP="00F355C8">
      <w:pPr>
        <w:pStyle w:val="NormalWeb"/>
        <w:spacing w:line="480" w:lineRule="auto"/>
        <w:ind w:firstLine="720"/>
        <w:rPr>
          <w:color w:val="000000" w:themeColor="text1"/>
        </w:rPr>
      </w:pPr>
      <w:r>
        <w:t>With every deictic element of their illustration practice, Kugler and Humphreys query fixed characterisation</w:t>
      </w:r>
      <w:r w:rsidR="00821DB8">
        <w:t xml:space="preserve">, particularly </w:t>
      </w:r>
      <w:r w:rsidR="008320FF">
        <w:t xml:space="preserve">the </w:t>
      </w:r>
      <w:r w:rsidR="00821DB8">
        <w:t>one promised by Brexit,</w:t>
      </w:r>
      <w:r>
        <w:t xml:space="preserve"> of Britishness</w:t>
      </w:r>
      <w:r w:rsidR="00C964AE">
        <w:t xml:space="preserve">.  </w:t>
      </w:r>
      <w:r>
        <w:t>Th</w:t>
      </w:r>
      <w:r w:rsidR="006C736F">
        <w:t>is</w:t>
      </w:r>
      <w:r>
        <w:t xml:space="preserve"> tension between a</w:t>
      </w:r>
      <w:r w:rsidR="007A31D1">
        <w:t xml:space="preserve"> composite</w:t>
      </w:r>
      <w:r>
        <w:t xml:space="preserve"> national </w:t>
      </w:r>
      <w:r w:rsidR="00EB2EFD">
        <w:t>identity</w:t>
      </w:r>
      <w:r>
        <w:t xml:space="preserve"> and the </w:t>
      </w:r>
      <w:r w:rsidR="006E7FD4">
        <w:t>individual stake or entry into</w:t>
      </w:r>
      <w:r>
        <w:t xml:space="preserve"> a given nation</w:t>
      </w:r>
      <w:r w:rsidR="006E7FD4">
        <w:t>ality</w:t>
      </w:r>
      <w:r>
        <w:t xml:space="preserve"> is considered by Timothy Brennan. Although he does not frame his enquiry into “The National Longing for Form” as one of semiotics, his analysis of the modern rise of the novel as national </w:t>
      </w:r>
      <w:r w:rsidR="00BA66EF">
        <w:t>form</w:t>
      </w:r>
      <w:r>
        <w:t xml:space="preserve"> </w:t>
      </w:r>
      <w:r w:rsidR="00B62C86">
        <w:t>can be read as a</w:t>
      </w:r>
      <w:r>
        <w:t xml:space="preserve"> parallel </w:t>
      </w:r>
      <w:r w:rsidR="00C00ED5">
        <w:t xml:space="preserve">figure </w:t>
      </w:r>
      <w:r>
        <w:t>to Fish and Chips</w:t>
      </w:r>
      <w:r w:rsidR="003C174F">
        <w:t>, which is also a</w:t>
      </w:r>
      <w:r>
        <w:t xml:space="preserve"> modern </w:t>
      </w:r>
      <w:r w:rsidR="009D7A25">
        <w:t xml:space="preserve">British national </w:t>
      </w:r>
      <w:r w:rsidR="00EC0763">
        <w:t>form</w:t>
      </w:r>
      <w:r w:rsidR="00857930">
        <w:t>ation</w:t>
      </w:r>
      <w:r w:rsidR="003C174F">
        <w:t xml:space="preserve">. </w:t>
      </w:r>
      <w:r>
        <w:t>The novel came into being, writes Brennan, as a kind of ‘mass ceremony’ where ‘one could read alone with the conviction that millions of others were doing the same, at the same time,’ gathering a ‘</w:t>
      </w:r>
      <w:r>
        <w:rPr>
          <w:i/>
          <w:iCs/>
        </w:rPr>
        <w:t>composite</w:t>
      </w:r>
      <w:r>
        <w:t xml:space="preserve"> quality.’ (Brennan, 1990, 52) This ‘composite quality’ which allowed for </w:t>
      </w:r>
      <w:r w:rsidR="000966E8">
        <w:t>individual</w:t>
      </w:r>
      <w:r w:rsidR="00892245">
        <w:t xml:space="preserve"> inclusion in</w:t>
      </w:r>
      <w:r>
        <w:t xml:space="preserve"> the shared national readership, fashioned the novel as an expression of ‘nation.’ ‘</w:t>
      </w:r>
      <w:r w:rsidR="00D40F5A">
        <w:t>N</w:t>
      </w:r>
      <w:r>
        <w:t xml:space="preserve">ation’ </w:t>
      </w:r>
      <w:r w:rsidR="00D40F5A">
        <w:t>a</w:t>
      </w:r>
      <w:r>
        <w:t>s a term is both an objective</w:t>
      </w:r>
      <w:r w:rsidR="00D40F5A">
        <w:t>ly</w:t>
      </w:r>
      <w:r>
        <w:t xml:space="preserve"> generic and </w:t>
      </w:r>
      <w:r w:rsidR="000966E8">
        <w:t>personal</w:t>
      </w:r>
      <w:r>
        <w:t>, simultaneously.</w:t>
      </w:r>
    </w:p>
    <w:p w14:paraId="43D7B452" w14:textId="39F0F69A" w:rsidR="00F355C8" w:rsidRPr="00EF6D6B" w:rsidRDefault="00EF6D6B" w:rsidP="00EF6D6B">
      <w:pPr>
        <w:pStyle w:val="NormalWeb"/>
        <w:spacing w:line="480" w:lineRule="auto"/>
        <w:rPr>
          <w:color w:val="000000" w:themeColor="text1"/>
          <w:u w:val="single"/>
        </w:rPr>
      </w:pPr>
      <w:r w:rsidRPr="00F34BE4">
        <w:rPr>
          <w:i/>
          <w:iCs/>
          <w:color w:val="000000" w:themeColor="text1"/>
          <w:u w:val="single"/>
        </w:rPr>
        <w:t>The Great Fish &amp; Chips</w:t>
      </w:r>
      <w:r>
        <w:rPr>
          <w:i/>
          <w:iCs/>
          <w:color w:val="000000" w:themeColor="text1"/>
          <w:u w:val="single"/>
        </w:rPr>
        <w:t xml:space="preserve"> </w:t>
      </w:r>
      <w:r w:rsidRPr="00F34BE4">
        <w:rPr>
          <w:color w:val="000000" w:themeColor="text1"/>
          <w:u w:val="single"/>
        </w:rPr>
        <w:t>as panorama of indexicality</w:t>
      </w:r>
    </w:p>
    <w:p w14:paraId="32A869F3" w14:textId="1C9A00DD" w:rsidR="00ED1397" w:rsidRPr="00ED1397" w:rsidRDefault="00AB74F8" w:rsidP="00A41D6F">
      <w:pPr>
        <w:pStyle w:val="NormalWeb"/>
        <w:spacing w:line="480" w:lineRule="auto"/>
        <w:ind w:firstLine="720"/>
        <w:rPr>
          <w:color w:val="000000" w:themeColor="text1"/>
        </w:rPr>
      </w:pPr>
      <w:r>
        <w:rPr>
          <w:color w:val="000000" w:themeColor="text1"/>
        </w:rPr>
        <w:t>Krauss’s model</w:t>
      </w:r>
      <w:r w:rsidR="00844CAD">
        <w:rPr>
          <w:color w:val="000000" w:themeColor="text1"/>
        </w:rPr>
        <w:t>ling of</w:t>
      </w:r>
      <w:r>
        <w:rPr>
          <w:color w:val="000000" w:themeColor="text1"/>
        </w:rPr>
        <w:t xml:space="preserve"> Duchamp’s </w:t>
      </w:r>
      <w:r>
        <w:rPr>
          <w:i/>
          <w:color w:val="000000" w:themeColor="text1"/>
        </w:rPr>
        <w:t xml:space="preserve">Tu </w:t>
      </w:r>
      <w:r w:rsidRPr="00AB74F8">
        <w:rPr>
          <w:i/>
          <w:color w:val="000000" w:themeColor="text1"/>
        </w:rPr>
        <w:t>M’</w:t>
      </w:r>
      <w:r>
        <w:rPr>
          <w:iCs/>
          <w:color w:val="000000" w:themeColor="text1"/>
        </w:rPr>
        <w:t xml:space="preserve"> as a panorama of indexicality </w:t>
      </w:r>
      <w:r w:rsidR="00C812B2">
        <w:rPr>
          <w:iCs/>
          <w:color w:val="000000" w:themeColor="text1"/>
        </w:rPr>
        <w:t>conveys</w:t>
      </w:r>
      <w:r>
        <w:rPr>
          <w:iCs/>
          <w:color w:val="000000" w:themeColor="text1"/>
        </w:rPr>
        <w:t xml:space="preserve"> the hive effect of indexical forces that is characteristic of </w:t>
      </w:r>
      <w:r w:rsidR="00DF6D8D">
        <w:rPr>
          <w:iCs/>
          <w:color w:val="000000" w:themeColor="text1"/>
        </w:rPr>
        <w:t xml:space="preserve">the </w:t>
      </w:r>
      <w:r w:rsidR="00106B65">
        <w:rPr>
          <w:iCs/>
          <w:color w:val="000000" w:themeColor="text1"/>
        </w:rPr>
        <w:t>i</w:t>
      </w:r>
      <w:r w:rsidR="00DF6D8D">
        <w:rPr>
          <w:iCs/>
          <w:color w:val="000000" w:themeColor="text1"/>
        </w:rPr>
        <w:t>ndex’s</w:t>
      </w:r>
      <w:r>
        <w:rPr>
          <w:iCs/>
          <w:color w:val="000000" w:themeColor="text1"/>
        </w:rPr>
        <w:t xml:space="preserve"> efficacies. Similarly, I </w:t>
      </w:r>
      <w:r w:rsidR="00DC11D9">
        <w:rPr>
          <w:iCs/>
          <w:color w:val="000000" w:themeColor="text1"/>
        </w:rPr>
        <w:t xml:space="preserve">am </w:t>
      </w:r>
      <w:r>
        <w:rPr>
          <w:iCs/>
          <w:color w:val="000000" w:themeColor="text1"/>
        </w:rPr>
        <w:t>read</w:t>
      </w:r>
      <w:r w:rsidR="00DC11D9">
        <w:rPr>
          <w:iCs/>
          <w:color w:val="000000" w:themeColor="text1"/>
        </w:rPr>
        <w:t>ing</w:t>
      </w:r>
      <w:r>
        <w:rPr>
          <w:iCs/>
          <w:color w:val="000000" w:themeColor="text1"/>
        </w:rPr>
        <w:t xml:space="preserve"> Humphreys’ and Kugler’s Fish &amp; Chips project as a matrix of indexical practices. </w:t>
      </w:r>
      <w:r w:rsidR="0036537A">
        <w:rPr>
          <w:iCs/>
          <w:color w:val="000000" w:themeColor="text1"/>
        </w:rPr>
        <w:t>In addition to</w:t>
      </w:r>
      <w:r w:rsidR="00B65859" w:rsidRPr="00ED1397">
        <w:rPr>
          <w:color w:val="000000" w:themeColor="text1"/>
        </w:rPr>
        <w:t xml:space="preserve"> th</w:t>
      </w:r>
      <w:r w:rsidR="00ED15CF">
        <w:rPr>
          <w:color w:val="000000" w:themeColor="text1"/>
        </w:rPr>
        <w:t>eir transcriptive</w:t>
      </w:r>
      <w:r w:rsidR="00B65859" w:rsidRPr="00ED1397">
        <w:rPr>
          <w:color w:val="000000" w:themeColor="text1"/>
        </w:rPr>
        <w:t xml:space="preserve"> approach to content, the</w:t>
      </w:r>
      <w:r w:rsidR="00ED15CF">
        <w:rPr>
          <w:color w:val="000000" w:themeColor="text1"/>
        </w:rPr>
        <w:t>ir book</w:t>
      </w:r>
      <w:r w:rsidR="00B65859" w:rsidRPr="00ED1397">
        <w:rPr>
          <w:color w:val="000000" w:themeColor="text1"/>
        </w:rPr>
        <w:t xml:space="preserve"> employ</w:t>
      </w:r>
      <w:r w:rsidR="00ED15CF">
        <w:rPr>
          <w:color w:val="000000" w:themeColor="text1"/>
        </w:rPr>
        <w:t>s</w:t>
      </w:r>
      <w:r w:rsidR="00B65859" w:rsidRPr="00ED1397">
        <w:rPr>
          <w:color w:val="000000" w:themeColor="text1"/>
        </w:rPr>
        <w:t xml:space="preserve"> the indexical practices that appear in illustration more generally: the use of speech bubbles, which both ‘point to’ the depicted speaking subject within the composition</w:t>
      </w:r>
      <w:r w:rsidR="00AE05D9" w:rsidRPr="00ED1397">
        <w:rPr>
          <w:color w:val="000000" w:themeColor="text1"/>
        </w:rPr>
        <w:t xml:space="preserve"> (figure </w:t>
      </w:r>
      <w:r w:rsidR="00ED15CF">
        <w:rPr>
          <w:color w:val="000000" w:themeColor="text1"/>
        </w:rPr>
        <w:t>6</w:t>
      </w:r>
      <w:r w:rsidR="00AE05D9" w:rsidRPr="00ED1397">
        <w:rPr>
          <w:color w:val="000000" w:themeColor="text1"/>
        </w:rPr>
        <w:t>),</w:t>
      </w:r>
      <w:r w:rsidR="00B65859" w:rsidRPr="00ED1397">
        <w:rPr>
          <w:color w:val="000000" w:themeColor="text1"/>
        </w:rPr>
        <w:t xml:space="preserve"> </w:t>
      </w:r>
      <w:r w:rsidR="00921C04">
        <w:rPr>
          <w:color w:val="000000" w:themeColor="text1"/>
        </w:rPr>
        <w:t>and</w:t>
      </w:r>
      <w:r w:rsidR="00B65859" w:rsidRPr="00ED1397">
        <w:rPr>
          <w:color w:val="000000" w:themeColor="text1"/>
        </w:rPr>
        <w:t xml:space="preserve">, </w:t>
      </w:r>
      <w:r w:rsidR="004A1188">
        <w:rPr>
          <w:color w:val="000000" w:themeColor="text1"/>
        </w:rPr>
        <w:t xml:space="preserve">which </w:t>
      </w:r>
      <w:r w:rsidR="00473870">
        <w:rPr>
          <w:color w:val="000000" w:themeColor="text1"/>
        </w:rPr>
        <w:t>preserve</w:t>
      </w:r>
      <w:r w:rsidR="004A1188">
        <w:rPr>
          <w:color w:val="000000" w:themeColor="text1"/>
        </w:rPr>
        <w:t xml:space="preserve"> and </w:t>
      </w:r>
      <w:r w:rsidR="00B65859" w:rsidRPr="00ED1397">
        <w:rPr>
          <w:color w:val="000000" w:themeColor="text1"/>
        </w:rPr>
        <w:t xml:space="preserve">signify the trace of the </w:t>
      </w:r>
      <w:r w:rsidR="0061217E">
        <w:rPr>
          <w:color w:val="000000" w:themeColor="text1"/>
        </w:rPr>
        <w:t xml:space="preserve">spoken </w:t>
      </w:r>
      <w:r w:rsidR="00B65859" w:rsidRPr="00ED1397">
        <w:rPr>
          <w:color w:val="000000" w:themeColor="text1"/>
        </w:rPr>
        <w:t xml:space="preserve">words </w:t>
      </w:r>
      <w:r w:rsidR="0061217E">
        <w:rPr>
          <w:color w:val="000000" w:themeColor="text1"/>
        </w:rPr>
        <w:t>as</w:t>
      </w:r>
      <w:r w:rsidR="00B65859" w:rsidRPr="00ED1397">
        <w:rPr>
          <w:color w:val="000000" w:themeColor="text1"/>
        </w:rPr>
        <w:t xml:space="preserve"> transcribed</w:t>
      </w:r>
      <w:r w:rsidR="00350581">
        <w:rPr>
          <w:color w:val="000000" w:themeColor="text1"/>
        </w:rPr>
        <w:t xml:space="preserve"> by Humphreys</w:t>
      </w:r>
      <w:r w:rsidR="004A5E7B">
        <w:rPr>
          <w:color w:val="000000" w:themeColor="text1"/>
        </w:rPr>
        <w:t>. In conju</w:t>
      </w:r>
      <w:r w:rsidR="00ED15CF">
        <w:rPr>
          <w:color w:val="000000" w:themeColor="text1"/>
        </w:rPr>
        <w:t>n</w:t>
      </w:r>
      <w:r w:rsidR="004A5E7B">
        <w:rPr>
          <w:color w:val="000000" w:themeColor="text1"/>
        </w:rPr>
        <w:t>ction with the transcribed words, t</w:t>
      </w:r>
      <w:r w:rsidR="00B65859" w:rsidRPr="00ED1397">
        <w:rPr>
          <w:color w:val="000000" w:themeColor="text1"/>
        </w:rPr>
        <w:t>he hand-render</w:t>
      </w:r>
      <w:r w:rsidR="004A5E7B">
        <w:rPr>
          <w:color w:val="000000" w:themeColor="text1"/>
        </w:rPr>
        <w:t xml:space="preserve">ing of the </w:t>
      </w:r>
      <w:r w:rsidR="00B65859" w:rsidRPr="00ED1397">
        <w:rPr>
          <w:color w:val="000000" w:themeColor="text1"/>
        </w:rPr>
        <w:t>photographs bear</w:t>
      </w:r>
      <w:r w:rsidR="00D51F3D">
        <w:rPr>
          <w:color w:val="000000" w:themeColor="text1"/>
        </w:rPr>
        <w:t>s</w:t>
      </w:r>
      <w:r w:rsidR="00B65859" w:rsidRPr="00ED1397">
        <w:rPr>
          <w:color w:val="000000" w:themeColor="text1"/>
        </w:rPr>
        <w:t xml:space="preserve"> the trace of the photographed </w:t>
      </w:r>
      <w:r w:rsidR="00ED15CF">
        <w:rPr>
          <w:color w:val="000000" w:themeColor="text1"/>
        </w:rPr>
        <w:lastRenderedPageBreak/>
        <w:t>subject</w:t>
      </w:r>
      <w:r w:rsidR="004A5E7B">
        <w:rPr>
          <w:color w:val="000000" w:themeColor="text1"/>
        </w:rPr>
        <w:t xml:space="preserve"> (even if the photographs are digital),</w:t>
      </w:r>
      <w:r w:rsidR="00B65859" w:rsidRPr="00ED1397">
        <w:rPr>
          <w:color w:val="000000" w:themeColor="text1"/>
        </w:rPr>
        <w:t xml:space="preserve"> b</w:t>
      </w:r>
      <w:r w:rsidR="00772C32">
        <w:rPr>
          <w:color w:val="000000" w:themeColor="text1"/>
        </w:rPr>
        <w:t>ecause it</w:t>
      </w:r>
      <w:r w:rsidR="00B65859" w:rsidRPr="00ED1397">
        <w:rPr>
          <w:color w:val="000000" w:themeColor="text1"/>
        </w:rPr>
        <w:t xml:space="preserve"> carr</w:t>
      </w:r>
      <w:r w:rsidR="00D51F3D">
        <w:rPr>
          <w:color w:val="000000" w:themeColor="text1"/>
        </w:rPr>
        <w:t>ies</w:t>
      </w:r>
      <w:r w:rsidR="001B06E7">
        <w:rPr>
          <w:color w:val="000000" w:themeColor="text1"/>
        </w:rPr>
        <w:t>, through his interpretive</w:t>
      </w:r>
      <w:r w:rsidR="001B06E7" w:rsidRPr="00ED1397">
        <w:rPr>
          <w:color w:val="000000" w:themeColor="text1"/>
        </w:rPr>
        <w:t xml:space="preserve"> transcription</w:t>
      </w:r>
      <w:r w:rsidR="001B06E7">
        <w:rPr>
          <w:color w:val="000000" w:themeColor="text1"/>
        </w:rPr>
        <w:t>,</w:t>
      </w:r>
      <w:r w:rsidR="00D51F3D">
        <w:rPr>
          <w:color w:val="000000" w:themeColor="text1"/>
        </w:rPr>
        <w:t xml:space="preserve"> </w:t>
      </w:r>
      <w:r w:rsidR="00B65859" w:rsidRPr="00ED1397">
        <w:rPr>
          <w:color w:val="000000" w:themeColor="text1"/>
        </w:rPr>
        <w:t>the ‘presence’ of Kugler</w:t>
      </w:r>
      <w:r w:rsidR="00D51F3D">
        <w:rPr>
          <w:color w:val="000000" w:themeColor="text1"/>
        </w:rPr>
        <w:t>’s</w:t>
      </w:r>
      <w:r w:rsidR="00375A35">
        <w:rPr>
          <w:color w:val="000000" w:themeColor="text1"/>
        </w:rPr>
        <w:t xml:space="preserve"> having</w:t>
      </w:r>
      <w:r w:rsidR="00D51F3D">
        <w:rPr>
          <w:color w:val="000000" w:themeColor="text1"/>
        </w:rPr>
        <w:t xml:space="preserve"> be</w:t>
      </w:r>
      <w:r w:rsidR="00375A35">
        <w:rPr>
          <w:color w:val="000000" w:themeColor="text1"/>
        </w:rPr>
        <w:t>en</w:t>
      </w:r>
      <w:r w:rsidR="00D51F3D">
        <w:rPr>
          <w:color w:val="000000" w:themeColor="text1"/>
        </w:rPr>
        <w:t xml:space="preserve"> </w:t>
      </w:r>
      <w:r w:rsidR="00D51F3D">
        <w:rPr>
          <w:i/>
          <w:iCs/>
          <w:color w:val="000000" w:themeColor="text1"/>
        </w:rPr>
        <w:t>there</w:t>
      </w:r>
      <w:r w:rsidR="00B65859" w:rsidRPr="00ED1397">
        <w:rPr>
          <w:color w:val="000000" w:themeColor="text1"/>
        </w:rPr>
        <w:t xml:space="preserve">. </w:t>
      </w:r>
      <w:r w:rsidR="00FF5668" w:rsidRPr="00ED1397">
        <w:rPr>
          <w:color w:val="000000" w:themeColor="text1"/>
        </w:rPr>
        <w:t xml:space="preserve">Here, I use the word ‘transcription’ to refer to both Humphreys’ </w:t>
      </w:r>
      <w:r w:rsidR="000E7E29" w:rsidRPr="00ED1397">
        <w:rPr>
          <w:color w:val="000000" w:themeColor="text1"/>
        </w:rPr>
        <w:t xml:space="preserve">process of </w:t>
      </w:r>
      <w:r w:rsidR="00FF5668" w:rsidRPr="00ED1397">
        <w:rPr>
          <w:color w:val="000000" w:themeColor="text1"/>
        </w:rPr>
        <w:t xml:space="preserve">recording conversations and </w:t>
      </w:r>
      <w:r w:rsidR="000E7E29" w:rsidRPr="00ED1397">
        <w:rPr>
          <w:color w:val="000000" w:themeColor="text1"/>
        </w:rPr>
        <w:t xml:space="preserve">then </w:t>
      </w:r>
      <w:r w:rsidR="00FF5668" w:rsidRPr="00ED1397">
        <w:rPr>
          <w:color w:val="000000" w:themeColor="text1"/>
        </w:rPr>
        <w:t xml:space="preserve">transcribing them through story arcs, as well as to Kugler’s illustrative practice which </w:t>
      </w:r>
      <w:r w:rsidR="000E7E29" w:rsidRPr="00ED1397">
        <w:rPr>
          <w:color w:val="000000" w:themeColor="text1"/>
        </w:rPr>
        <w:t>interpret</w:t>
      </w:r>
      <w:r w:rsidR="00C30FFF">
        <w:rPr>
          <w:color w:val="000000" w:themeColor="text1"/>
        </w:rPr>
        <w:t>s</w:t>
      </w:r>
      <w:r w:rsidR="000E7E29" w:rsidRPr="00ED1397">
        <w:rPr>
          <w:color w:val="000000" w:themeColor="text1"/>
        </w:rPr>
        <w:t xml:space="preserve"> the </w:t>
      </w:r>
      <w:r w:rsidR="00FF5668" w:rsidRPr="00ED1397">
        <w:rPr>
          <w:color w:val="000000" w:themeColor="text1"/>
        </w:rPr>
        <w:t>photographs of his subjects</w:t>
      </w:r>
      <w:r w:rsidR="00190750" w:rsidRPr="00ED1397">
        <w:rPr>
          <w:color w:val="000000" w:themeColor="text1"/>
        </w:rPr>
        <w:t xml:space="preserve"> </w:t>
      </w:r>
      <w:r w:rsidR="00FF5668" w:rsidRPr="00ED1397">
        <w:rPr>
          <w:color w:val="000000" w:themeColor="text1"/>
        </w:rPr>
        <w:t>through hand</w:t>
      </w:r>
      <w:r w:rsidR="00855462" w:rsidRPr="00ED1397">
        <w:rPr>
          <w:color w:val="000000" w:themeColor="text1"/>
        </w:rPr>
        <w:t>made</w:t>
      </w:r>
      <w:r w:rsidR="00FF5668" w:rsidRPr="00ED1397">
        <w:rPr>
          <w:color w:val="000000" w:themeColor="text1"/>
        </w:rPr>
        <w:t xml:space="preserve"> imagery.</w:t>
      </w:r>
      <w:r w:rsidR="005F2E44" w:rsidRPr="00ED1397">
        <w:rPr>
          <w:color w:val="000000" w:themeColor="text1"/>
        </w:rPr>
        <w:t xml:space="preserve"> </w:t>
      </w:r>
      <w:r w:rsidR="0035426A">
        <w:rPr>
          <w:color w:val="000000" w:themeColor="text1"/>
        </w:rPr>
        <w:t xml:space="preserve">As witnesses, so to speak, of a moment and place in history, Humphreys and Kugler themselves act indexically, as </w:t>
      </w:r>
      <w:r w:rsidR="00867D44">
        <w:rPr>
          <w:color w:val="000000" w:themeColor="text1"/>
        </w:rPr>
        <w:t>bodily</w:t>
      </w:r>
      <w:r w:rsidR="0035426A">
        <w:rPr>
          <w:color w:val="000000" w:themeColor="text1"/>
        </w:rPr>
        <w:t xml:space="preserve"> connections to what they are depicting. The transcription of </w:t>
      </w:r>
      <w:r w:rsidR="002255E1">
        <w:rPr>
          <w:color w:val="000000" w:themeColor="text1"/>
        </w:rPr>
        <w:t>live</w:t>
      </w:r>
      <w:r w:rsidR="0035426A">
        <w:rPr>
          <w:color w:val="000000" w:themeColor="text1"/>
        </w:rPr>
        <w:t xml:space="preserve"> presence</w:t>
      </w:r>
      <w:r w:rsidR="001E403F">
        <w:rPr>
          <w:color w:val="000000" w:themeColor="text1"/>
        </w:rPr>
        <w:t xml:space="preserve"> grants the graphic storytelling authenticity, a claim that </w:t>
      </w:r>
      <w:r w:rsidR="005357B7">
        <w:rPr>
          <w:color w:val="000000" w:themeColor="text1"/>
        </w:rPr>
        <w:t xml:space="preserve">has been attributed to </w:t>
      </w:r>
      <w:r w:rsidR="001E403F">
        <w:rPr>
          <w:color w:val="000000" w:themeColor="text1"/>
        </w:rPr>
        <w:t xml:space="preserve">the </w:t>
      </w:r>
      <w:r w:rsidR="00062221">
        <w:rPr>
          <w:color w:val="000000" w:themeColor="text1"/>
        </w:rPr>
        <w:t>i</w:t>
      </w:r>
      <w:r w:rsidR="001E403F">
        <w:rPr>
          <w:color w:val="000000" w:themeColor="text1"/>
        </w:rPr>
        <w:t>ndex</w:t>
      </w:r>
      <w:r w:rsidR="004643F1">
        <w:rPr>
          <w:color w:val="000000" w:themeColor="text1"/>
        </w:rPr>
        <w:t xml:space="preserve"> </w:t>
      </w:r>
      <w:r w:rsidR="001E403F">
        <w:rPr>
          <w:color w:val="000000" w:themeColor="text1"/>
        </w:rPr>
        <w:t>‘by virtue of its privileging of contact, of touch, of a physical connection’ that ‘touches the real.’ (Doane, 2007, 142; 140)</w:t>
      </w:r>
    </w:p>
    <w:p w14:paraId="536D3160" w14:textId="0AF02221" w:rsidR="005C2980" w:rsidRDefault="005C2980" w:rsidP="005C2980">
      <w:pPr>
        <w:pStyle w:val="NormalWeb"/>
        <w:spacing w:line="480" w:lineRule="auto"/>
        <w:rPr>
          <w:color w:val="4472C4" w:themeColor="accent1"/>
        </w:rPr>
      </w:pPr>
      <w:r>
        <w:rPr>
          <w:color w:val="000000" w:themeColor="text1"/>
          <w:u w:val="single"/>
        </w:rPr>
        <w:t xml:space="preserve">‘The fantasy of referentiality’: </w:t>
      </w:r>
      <w:r w:rsidR="00833FF7">
        <w:rPr>
          <w:color w:val="000000" w:themeColor="text1"/>
          <w:u w:val="single"/>
        </w:rPr>
        <w:t>T</w:t>
      </w:r>
      <w:r>
        <w:rPr>
          <w:color w:val="000000" w:themeColor="text1"/>
          <w:u w:val="single"/>
        </w:rPr>
        <w:t xml:space="preserve">ouching </w:t>
      </w:r>
      <w:r w:rsidR="00833FF7">
        <w:rPr>
          <w:color w:val="000000" w:themeColor="text1"/>
          <w:u w:val="single"/>
        </w:rPr>
        <w:t>G</w:t>
      </w:r>
      <w:r>
        <w:rPr>
          <w:color w:val="000000" w:themeColor="text1"/>
          <w:u w:val="single"/>
        </w:rPr>
        <w:t xml:space="preserve">round in Britain </w:t>
      </w:r>
      <w:r>
        <w:rPr>
          <w:color w:val="000000" w:themeColor="text1"/>
        </w:rPr>
        <w:t xml:space="preserve"> </w:t>
      </w:r>
    </w:p>
    <w:p w14:paraId="5A077D66" w14:textId="75E6E067" w:rsidR="003B7966" w:rsidRPr="00403151" w:rsidRDefault="00AD676C" w:rsidP="000627EF">
      <w:pPr>
        <w:pStyle w:val="NormalWeb"/>
        <w:spacing w:before="0" w:beforeAutospacing="0" w:line="480" w:lineRule="auto"/>
        <w:ind w:firstLine="720"/>
        <w:rPr>
          <w:color w:val="000000" w:themeColor="text1"/>
        </w:rPr>
      </w:pPr>
      <w:r>
        <w:t xml:space="preserve">Mary Ann Doane’s edited issue of the journal </w:t>
      </w:r>
      <w:r>
        <w:rPr>
          <w:i/>
          <w:iCs/>
        </w:rPr>
        <w:t>Differences</w:t>
      </w:r>
      <w:r w:rsidRPr="00AD676C">
        <w:rPr>
          <w:i/>
          <w:iCs/>
        </w:rPr>
        <w:t xml:space="preserve">, ‘Indexicality: Trace and Sign,’ </w:t>
      </w:r>
      <w:r>
        <w:t>(2007)</w:t>
      </w:r>
      <w:r w:rsidR="002F6CBF">
        <w:t xml:space="preserve"> elaborates extensively on the Index, </w:t>
      </w:r>
      <w:r w:rsidR="00072839">
        <w:t>and in her own essay about medium specificity, s</w:t>
      </w:r>
      <w:r w:rsidR="00720848">
        <w:t xml:space="preserve">he </w:t>
      </w:r>
      <w:r w:rsidR="006F2C14">
        <w:t xml:space="preserve">compellingly </w:t>
      </w:r>
      <w:r w:rsidR="00720848">
        <w:t xml:space="preserve">unpacks the </w:t>
      </w:r>
      <w:r w:rsidR="00072839">
        <w:t>ambivalences</w:t>
      </w:r>
      <w:r w:rsidR="00720848">
        <w:t xml:space="preserve"> of the authenticity imbued in the indexical sign. For our purposes, I want to </w:t>
      </w:r>
      <w:r w:rsidR="006F30E7">
        <w:t>focus on</w:t>
      </w:r>
      <w:r w:rsidR="00720848">
        <w:t xml:space="preserve"> her </w:t>
      </w:r>
      <w:r w:rsidR="004B3E64">
        <w:t>pairing of Roland Barthes’ meditation on the power of the indexical authenticity of the photograph</w:t>
      </w:r>
      <w:r w:rsidR="004B3E64">
        <w:rPr>
          <w:rStyle w:val="EndnoteReference"/>
        </w:rPr>
        <w:endnoteReference w:id="11"/>
      </w:r>
      <w:r w:rsidR="006B49C9">
        <w:t xml:space="preserve"> </w:t>
      </w:r>
      <w:r w:rsidR="004B3E64">
        <w:t xml:space="preserve">with her </w:t>
      </w:r>
      <w:r w:rsidR="00720848">
        <w:t>citation of Georges Didi-Huberman’s important contribution to reading</w:t>
      </w:r>
      <w:r w:rsidR="004B3E64">
        <w:t xml:space="preserve"> the </w:t>
      </w:r>
      <w:r w:rsidR="007C66E7">
        <w:t>i</w:t>
      </w:r>
      <w:r w:rsidR="004B3E64">
        <w:t xml:space="preserve">ndexicality of the </w:t>
      </w:r>
      <w:r w:rsidR="00720848">
        <w:t>Shroud of Turin</w:t>
      </w:r>
      <w:r w:rsidR="004B3E64">
        <w:t xml:space="preserve"> (1984)</w:t>
      </w:r>
      <w:r w:rsidR="00C8508A">
        <w:t>.</w:t>
      </w:r>
      <w:r w:rsidR="007C2730">
        <w:rPr>
          <w:rStyle w:val="EndnoteReference"/>
        </w:rPr>
        <w:endnoteReference w:id="12"/>
      </w:r>
      <w:r w:rsidR="004B3E64">
        <w:t xml:space="preserve">  Doane writes, ‘The</w:t>
      </w:r>
      <w:r w:rsidR="00D21B6B">
        <w:t xml:space="preserve"> lure of the indexical is linked to its intimate collusion with what Didi-Huberman calls the “fantasy of referentiality,” with the inert stability of the real…’</w:t>
      </w:r>
      <w:r w:rsidR="004B3E64">
        <w:t xml:space="preserve"> </w:t>
      </w:r>
      <w:r w:rsidR="00D21B6B">
        <w:t xml:space="preserve">(Doane, 2007, 129) </w:t>
      </w:r>
      <w:r w:rsidR="00C1300C">
        <w:t xml:space="preserve"> </w:t>
      </w:r>
      <w:r w:rsidR="006F2C14">
        <w:t xml:space="preserve">Doane’s recognition, following Barthes and Didi-Huberman, of the ‘intimacy’ (Barthes) of the </w:t>
      </w:r>
      <w:r w:rsidR="007C0FFA">
        <w:t>‘</w:t>
      </w:r>
      <w:r w:rsidR="006F2C14">
        <w:t>fantasy</w:t>
      </w:r>
      <w:r w:rsidR="007C0FFA">
        <w:t>’</w:t>
      </w:r>
      <w:r w:rsidR="006F2C14">
        <w:t xml:space="preserve"> of </w:t>
      </w:r>
      <w:r w:rsidR="007C0FFA">
        <w:t>a stabilizing real (Didi-Huberman) speaks to the emotional and political intensity of the Brexit fantasy of British native identity and sovereignty as a</w:t>
      </w:r>
      <w:r w:rsidR="00A25BA1">
        <w:t xml:space="preserve">n authentic </w:t>
      </w:r>
      <w:r w:rsidR="007C0FFA">
        <w:t xml:space="preserve">anchor to its nationality. </w:t>
      </w:r>
      <w:r w:rsidR="006153A7">
        <w:t xml:space="preserve">As </w:t>
      </w:r>
      <w:r w:rsidR="005C4F34">
        <w:t>proposed</w:t>
      </w:r>
      <w:r w:rsidR="006153A7">
        <w:t xml:space="preserve"> in an earlier part of this essay, the Brexit debate presented the British fisherman as index to the nation’s identity, with </w:t>
      </w:r>
      <w:r w:rsidR="006153A7">
        <w:lastRenderedPageBreak/>
        <w:t>his claim to territorial ownership and sovereignty over the quotas and policies of the fishing industry. Going back to Timothy Brennan</w:t>
      </w:r>
      <w:r w:rsidR="000759D9">
        <w:t>,</w:t>
      </w:r>
      <w:r w:rsidR="006153A7">
        <w:t xml:space="preserve"> </w:t>
      </w:r>
      <w:r w:rsidR="002F0892">
        <w:t>who contextualizes his ideas</w:t>
      </w:r>
      <w:r w:rsidR="000759D9">
        <w:t xml:space="preserve"> </w:t>
      </w:r>
      <w:r w:rsidR="002F0892">
        <w:t xml:space="preserve">within </w:t>
      </w:r>
      <w:r w:rsidR="006153A7">
        <w:t>historical philosophical accounts of nationali</w:t>
      </w:r>
      <w:r w:rsidR="00F65146">
        <w:t>sm</w:t>
      </w:r>
      <w:r w:rsidR="006153A7">
        <w:t>, we can see just how important the territory itself is to</w:t>
      </w:r>
      <w:r w:rsidR="00AE1BF5">
        <w:t xml:space="preserve"> ideological constructions – fantasies – of ‘nation’. </w:t>
      </w:r>
      <w:r w:rsidR="002C79C3">
        <w:t xml:space="preserve">These fantasies, in their foundation in rootedness, grounding, and birth, are iterations of the ideal of authenticity </w:t>
      </w:r>
      <w:r w:rsidR="00DE3AD1">
        <w:t xml:space="preserve">as </w:t>
      </w:r>
      <w:r w:rsidR="002C79C3">
        <w:t>characterized by contact</w:t>
      </w:r>
      <w:r w:rsidR="00733782">
        <w:t xml:space="preserve"> and</w:t>
      </w:r>
      <w:r w:rsidR="002C79C3">
        <w:t xml:space="preserve"> touch</w:t>
      </w:r>
      <w:r w:rsidR="003B7966">
        <w:t xml:space="preserve">. Brennan </w:t>
      </w:r>
      <w:r w:rsidR="006E7B58">
        <w:t xml:space="preserve">draws our attention to </w:t>
      </w:r>
      <w:r w:rsidR="003B7966">
        <w:t>the</w:t>
      </w:r>
      <w:r w:rsidR="006153A7">
        <w:t xml:space="preserve"> </w:t>
      </w:r>
      <w:r w:rsidR="003B7966" w:rsidRPr="00403151">
        <w:rPr>
          <w:color w:val="000000" w:themeColor="text1"/>
        </w:rPr>
        <w:t xml:space="preserve">German quality of </w:t>
      </w:r>
      <w:proofErr w:type="spellStart"/>
      <w:r w:rsidR="003B7966" w:rsidRPr="00403151">
        <w:rPr>
          <w:i/>
          <w:iCs/>
          <w:color w:val="000000" w:themeColor="text1"/>
        </w:rPr>
        <w:t>Volksgeist</w:t>
      </w:r>
      <w:proofErr w:type="spellEnd"/>
      <w:r w:rsidR="003B7966" w:rsidRPr="00403151">
        <w:rPr>
          <w:color w:val="000000" w:themeColor="text1"/>
        </w:rPr>
        <w:t>, introduced by Herder’s ‘woo[</w:t>
      </w:r>
      <w:proofErr w:type="spellStart"/>
      <w:r w:rsidR="003B7966" w:rsidRPr="00403151">
        <w:rPr>
          <w:color w:val="000000" w:themeColor="text1"/>
        </w:rPr>
        <w:t>ly</w:t>
      </w:r>
      <w:proofErr w:type="spellEnd"/>
      <w:r w:rsidR="003B7966" w:rsidRPr="00403151">
        <w:rPr>
          <w:color w:val="000000" w:themeColor="text1"/>
        </w:rPr>
        <w:t xml:space="preserve">] Romantic insistence on the primordial and ineluctable roots of nationhood as a </w:t>
      </w:r>
      <w:r w:rsidR="003B7966" w:rsidRPr="00403151">
        <w:rPr>
          <w:i/>
          <w:iCs/>
          <w:color w:val="000000" w:themeColor="text1"/>
        </w:rPr>
        <w:t>distinguishing feature</w:t>
      </w:r>
      <w:r w:rsidR="003B7966" w:rsidRPr="00403151">
        <w:rPr>
          <w:color w:val="000000" w:themeColor="text1"/>
        </w:rPr>
        <w:t xml:space="preserve"> from other communities.’ (Brennan, 1990, 53) </w:t>
      </w:r>
      <w:r w:rsidR="00630EC4" w:rsidRPr="00403151">
        <w:rPr>
          <w:color w:val="000000" w:themeColor="text1"/>
        </w:rPr>
        <w:t>Brennan’s</w:t>
      </w:r>
      <w:r w:rsidR="003B7966" w:rsidRPr="00403151">
        <w:rPr>
          <w:color w:val="000000" w:themeColor="text1"/>
        </w:rPr>
        <w:t xml:space="preserve"> citation of Raymond Williams frames this invocation of ‘primordial roots’: </w:t>
      </w:r>
    </w:p>
    <w:p w14:paraId="6C629F5F" w14:textId="4BD0A157" w:rsidR="003B7966" w:rsidRPr="00403151" w:rsidRDefault="003B7966" w:rsidP="000627EF">
      <w:pPr>
        <w:pStyle w:val="NormalWeb"/>
        <w:spacing w:before="0" w:beforeAutospacing="0"/>
        <w:ind w:left="2160"/>
        <w:rPr>
          <w:color w:val="000000" w:themeColor="text1"/>
        </w:rPr>
      </w:pPr>
      <w:r w:rsidRPr="00403151">
        <w:rPr>
          <w:color w:val="000000" w:themeColor="text1"/>
        </w:rPr>
        <w:t xml:space="preserve">“’Nation’ as a term is radically connected with ‘native’. We are </w:t>
      </w:r>
      <w:r w:rsidRPr="00403151">
        <w:rPr>
          <w:i/>
          <w:iCs/>
          <w:color w:val="000000" w:themeColor="text1"/>
        </w:rPr>
        <w:t>born</w:t>
      </w:r>
      <w:r w:rsidRPr="00403151">
        <w:rPr>
          <w:color w:val="000000" w:themeColor="text1"/>
        </w:rPr>
        <w:t xml:space="preserve"> into relationships which are typically settled in a place. This form of primary and ‘placeable’ bonding is of quite fundamental human and natural importance.” (Brennan, </w:t>
      </w:r>
      <w:r w:rsidR="000F1430" w:rsidRPr="00403151">
        <w:rPr>
          <w:color w:val="000000" w:themeColor="text1"/>
        </w:rPr>
        <w:t xml:space="preserve">1990, </w:t>
      </w:r>
      <w:r w:rsidRPr="00403151">
        <w:rPr>
          <w:color w:val="000000" w:themeColor="text1"/>
        </w:rPr>
        <w:t xml:space="preserve">45, citing Williams, </w:t>
      </w:r>
      <w:r w:rsidR="00937773">
        <w:rPr>
          <w:color w:val="000000" w:themeColor="text1"/>
        </w:rPr>
        <w:t xml:space="preserve">1983, </w:t>
      </w:r>
      <w:r w:rsidRPr="00403151">
        <w:rPr>
          <w:color w:val="000000" w:themeColor="text1"/>
        </w:rPr>
        <w:t>180)</w:t>
      </w:r>
    </w:p>
    <w:p w14:paraId="08DB0067" w14:textId="1D0AF3B4" w:rsidR="003B7966" w:rsidRPr="00403151" w:rsidRDefault="003B7966" w:rsidP="003B7966">
      <w:pPr>
        <w:pStyle w:val="NormalWeb"/>
        <w:spacing w:before="0" w:beforeAutospacing="0" w:line="480" w:lineRule="auto"/>
        <w:rPr>
          <w:color w:val="000000" w:themeColor="text1"/>
        </w:rPr>
      </w:pPr>
      <w:r w:rsidRPr="00403151">
        <w:rPr>
          <w:color w:val="000000" w:themeColor="text1"/>
        </w:rPr>
        <w:t xml:space="preserve">Williams’ </w:t>
      </w:r>
      <w:r w:rsidR="00F16504">
        <w:rPr>
          <w:color w:val="000000" w:themeColor="text1"/>
        </w:rPr>
        <w:t xml:space="preserve">remarks upon the </w:t>
      </w:r>
      <w:r w:rsidR="00467521">
        <w:rPr>
          <w:color w:val="000000" w:themeColor="text1"/>
        </w:rPr>
        <w:t xml:space="preserve">coincidence </w:t>
      </w:r>
      <w:r w:rsidRPr="00403151">
        <w:rPr>
          <w:color w:val="000000" w:themeColor="text1"/>
        </w:rPr>
        <w:t xml:space="preserve">between etymological roots and national </w:t>
      </w:r>
      <w:proofErr w:type="gramStart"/>
      <w:r w:rsidRPr="00403151">
        <w:rPr>
          <w:color w:val="000000" w:themeColor="text1"/>
        </w:rPr>
        <w:t>roots  effectively</w:t>
      </w:r>
      <w:proofErr w:type="gramEnd"/>
      <w:r w:rsidRPr="00403151">
        <w:rPr>
          <w:color w:val="000000" w:themeColor="text1"/>
        </w:rPr>
        <w:t xml:space="preserve"> </w:t>
      </w:r>
      <w:r w:rsidR="006D1D47">
        <w:rPr>
          <w:color w:val="000000" w:themeColor="text1"/>
        </w:rPr>
        <w:t>inform</w:t>
      </w:r>
      <w:r w:rsidRPr="00403151">
        <w:rPr>
          <w:color w:val="000000" w:themeColor="text1"/>
        </w:rPr>
        <w:t xml:space="preserve"> the imagined physical connection between nation and land.  The </w:t>
      </w:r>
      <w:r w:rsidR="00C7494B">
        <w:rPr>
          <w:color w:val="000000" w:themeColor="text1"/>
        </w:rPr>
        <w:t xml:space="preserve">foundational </w:t>
      </w:r>
      <w:r w:rsidRPr="00403151">
        <w:rPr>
          <w:color w:val="000000" w:themeColor="text1"/>
        </w:rPr>
        <w:t xml:space="preserve">connection </w:t>
      </w:r>
      <w:r w:rsidR="00893821">
        <w:rPr>
          <w:color w:val="000000" w:themeColor="text1"/>
        </w:rPr>
        <w:t>between</w:t>
      </w:r>
      <w:r w:rsidRPr="00403151">
        <w:rPr>
          <w:color w:val="000000" w:themeColor="text1"/>
        </w:rPr>
        <w:t xml:space="preserve"> ‘native’ </w:t>
      </w:r>
      <w:r w:rsidR="00C927FA">
        <w:rPr>
          <w:color w:val="000000" w:themeColor="text1"/>
        </w:rPr>
        <w:t>and</w:t>
      </w:r>
      <w:r w:rsidRPr="00403151">
        <w:rPr>
          <w:color w:val="000000" w:themeColor="text1"/>
        </w:rPr>
        <w:t xml:space="preserve"> ‘nation’ instigates a gravitational pull, an ‘ineluctable’ force, to use Brennan’s </w:t>
      </w:r>
      <w:r w:rsidR="00174E81">
        <w:rPr>
          <w:color w:val="000000" w:themeColor="text1"/>
        </w:rPr>
        <w:t>characterization</w:t>
      </w:r>
      <w:r w:rsidRPr="00403151">
        <w:rPr>
          <w:color w:val="000000" w:themeColor="text1"/>
        </w:rPr>
        <w:t xml:space="preserve">. </w:t>
      </w:r>
      <w:r w:rsidRPr="00403151">
        <w:rPr>
          <w:i/>
          <w:iCs/>
          <w:color w:val="000000" w:themeColor="text1"/>
        </w:rPr>
        <w:t>The Great Fish &amp; Chips</w:t>
      </w:r>
      <w:r w:rsidRPr="00403151">
        <w:rPr>
          <w:color w:val="000000" w:themeColor="text1"/>
        </w:rPr>
        <w:t xml:space="preserve"> dissolves the gravitational and ineluctable pull of the native-nation relation by </w:t>
      </w:r>
      <w:r w:rsidR="00F72EBC">
        <w:rPr>
          <w:color w:val="000000" w:themeColor="text1"/>
        </w:rPr>
        <w:t>revealing</w:t>
      </w:r>
      <w:r w:rsidRPr="00403151">
        <w:rPr>
          <w:color w:val="000000" w:themeColor="text1"/>
        </w:rPr>
        <w:t xml:space="preserve"> it as a fantasy</w:t>
      </w:r>
      <w:r w:rsidR="00DB23C4">
        <w:rPr>
          <w:color w:val="000000" w:themeColor="text1"/>
        </w:rPr>
        <w:t>, a fantasy of referentiality</w:t>
      </w:r>
      <w:r w:rsidRPr="00403151">
        <w:rPr>
          <w:color w:val="000000" w:themeColor="text1"/>
        </w:rPr>
        <w:t>.</w:t>
      </w:r>
    </w:p>
    <w:p w14:paraId="097E381F" w14:textId="3F8BDBD6" w:rsidR="002E3AC7" w:rsidRPr="00C612E0" w:rsidRDefault="00C612E0" w:rsidP="00BD4798">
      <w:pPr>
        <w:pStyle w:val="NormalWeb"/>
        <w:spacing w:before="0" w:beforeAutospacing="0" w:line="480" w:lineRule="auto"/>
        <w:ind w:firstLine="720"/>
      </w:pPr>
      <w:r>
        <w:rPr>
          <w:u w:val="single"/>
        </w:rPr>
        <w:t>Conclusion</w:t>
      </w:r>
    </w:p>
    <w:p w14:paraId="261B320C" w14:textId="45424FBA" w:rsidR="00D5656F" w:rsidRDefault="0044124D" w:rsidP="00CD4BFE">
      <w:pPr>
        <w:pStyle w:val="NormalWeb"/>
        <w:spacing w:before="0" w:beforeAutospacing="0" w:line="480" w:lineRule="auto"/>
        <w:rPr>
          <w:color w:val="000000" w:themeColor="text1"/>
        </w:rPr>
      </w:pPr>
      <w:r>
        <w:rPr>
          <w:b/>
          <w:bCs/>
        </w:rPr>
        <w:tab/>
      </w:r>
      <w:r w:rsidR="00E0458D">
        <w:t>Andrew Humphreys’</w:t>
      </w:r>
      <w:r w:rsidR="00580987">
        <w:t xml:space="preserve"> and Olivier Kugler’s </w:t>
      </w:r>
      <w:r w:rsidR="00E0458D">
        <w:t>illustrated reportage</w:t>
      </w:r>
      <w:r w:rsidR="007B3FE8">
        <w:t xml:space="preserve"> project</w:t>
      </w:r>
      <w:r w:rsidR="00E0458D">
        <w:t xml:space="preserve">, </w:t>
      </w:r>
      <w:r w:rsidR="00E0458D">
        <w:rPr>
          <w:i/>
          <w:iCs/>
        </w:rPr>
        <w:t>The Great British Fish &amp; Chips</w:t>
      </w:r>
      <w:r w:rsidR="00E0458D">
        <w:t xml:space="preserve">, </w:t>
      </w:r>
      <w:r w:rsidR="00187E13">
        <w:t>employs</w:t>
      </w:r>
      <w:r w:rsidR="00E0458D">
        <w:t xml:space="preserve"> </w:t>
      </w:r>
      <w:r w:rsidR="009E08F9">
        <w:t>a</w:t>
      </w:r>
      <w:r w:rsidR="00D66751">
        <w:t xml:space="preserve"> transcriptive</w:t>
      </w:r>
      <w:r w:rsidR="00E0458D">
        <w:t xml:space="preserve"> ‘indexical’ approach </w:t>
      </w:r>
      <w:r w:rsidR="009E08F9">
        <w:t>in</w:t>
      </w:r>
      <w:r w:rsidR="00E0458D">
        <w:t xml:space="preserve"> their research, storytelling, and image-making</w:t>
      </w:r>
      <w:r w:rsidR="00836855">
        <w:t>. B</w:t>
      </w:r>
      <w:r w:rsidR="00E0458D">
        <w:t xml:space="preserve">y bringing forth </w:t>
      </w:r>
      <w:r w:rsidR="001A4D13">
        <w:t xml:space="preserve">the diverse </w:t>
      </w:r>
      <w:r w:rsidR="00E0458D">
        <w:t xml:space="preserve">individuals and production sites that go into </w:t>
      </w:r>
      <w:r w:rsidR="00254DD7">
        <w:t>a plate of</w:t>
      </w:r>
      <w:r w:rsidR="00E0458D">
        <w:t xml:space="preserve"> Fish </w:t>
      </w:r>
      <w:r w:rsidR="00254DD7">
        <w:t xml:space="preserve">and </w:t>
      </w:r>
      <w:r w:rsidR="00E0458D">
        <w:t xml:space="preserve">Chips, the signifier ‘British’ </w:t>
      </w:r>
      <w:r w:rsidR="00254DD7">
        <w:t xml:space="preserve">is shown to </w:t>
      </w:r>
      <w:r w:rsidR="00E0458D">
        <w:t>refer to people and places tha</w:t>
      </w:r>
      <w:r w:rsidR="00C612E0">
        <w:t xml:space="preserve">t are not necessarily </w:t>
      </w:r>
      <w:r w:rsidR="00B63F1B">
        <w:t>British</w:t>
      </w:r>
      <w:r w:rsidR="00C612E0">
        <w:t xml:space="preserve">, </w:t>
      </w:r>
      <w:r w:rsidR="00B63F1B">
        <w:t>break</w:t>
      </w:r>
      <w:r w:rsidR="00C612E0">
        <w:t>ing</w:t>
      </w:r>
      <w:r w:rsidR="00B63F1B">
        <w:t xml:space="preserve"> the aura </w:t>
      </w:r>
      <w:r w:rsidR="00055F91">
        <w:t>generated by</w:t>
      </w:r>
      <w:r w:rsidR="00B63F1B">
        <w:t xml:space="preserve"> the ‘national dish’ </w:t>
      </w:r>
      <w:r w:rsidR="00B63F1B">
        <w:lastRenderedPageBreak/>
        <w:t>and challeng</w:t>
      </w:r>
      <w:r w:rsidR="00C612E0">
        <w:t>ing</w:t>
      </w:r>
      <w:r w:rsidR="00B63F1B">
        <w:t xml:space="preserve"> prevailing myths about British national identity and sovereignty</w:t>
      </w:r>
      <w:r w:rsidR="00C612E0">
        <w:t xml:space="preserve"> that came to the fore in the Brexit debate</w:t>
      </w:r>
      <w:r w:rsidR="00B63F1B">
        <w:t xml:space="preserve">. </w:t>
      </w:r>
      <w:r w:rsidR="00E0458D">
        <w:t xml:space="preserve">Humphreys </w:t>
      </w:r>
      <w:r w:rsidR="00C612E0">
        <w:t xml:space="preserve">and Kugler </w:t>
      </w:r>
      <w:r w:rsidR="00B63F1B">
        <w:t>present</w:t>
      </w:r>
      <w:r w:rsidR="00E0458D">
        <w:t xml:space="preserve"> the ironies of the </w:t>
      </w:r>
      <w:r w:rsidR="00D014B9">
        <w:t xml:space="preserve">Brexiteer’s insistence upon a native, non-immigrant based national identity.  What they find </w:t>
      </w:r>
      <w:r w:rsidR="00133B28">
        <w:t xml:space="preserve">to be </w:t>
      </w:r>
      <w:r w:rsidR="00D014B9">
        <w:t xml:space="preserve">the </w:t>
      </w:r>
      <w:r w:rsidR="00D014B9" w:rsidRPr="00133B28">
        <w:rPr>
          <w:i/>
          <w:iCs/>
        </w:rPr>
        <w:t xml:space="preserve">international </w:t>
      </w:r>
      <w:r w:rsidR="00D014B9">
        <w:t>character of Fish &amp; Chips, down to its origin in immigrant roots, is communicated through a complex querying of</w:t>
      </w:r>
      <w:r w:rsidR="00E674EE">
        <w:t xml:space="preserve"> the politics of</w:t>
      </w:r>
      <w:r w:rsidR="00D014B9">
        <w:t xml:space="preserve"> referentiality itself. </w:t>
      </w:r>
      <w:r w:rsidR="00FE2393">
        <w:t>T</w:t>
      </w:r>
      <w:r w:rsidR="006E18D0">
        <w:t xml:space="preserve">he </w:t>
      </w:r>
      <w:r w:rsidR="00FE2393">
        <w:t xml:space="preserve">Peircean semiotic category of the </w:t>
      </w:r>
      <w:r w:rsidR="006E18D0">
        <w:t xml:space="preserve">Index, </w:t>
      </w:r>
      <w:r w:rsidR="00FE2393">
        <w:t>as explicated by</w:t>
      </w:r>
      <w:r w:rsidR="005605DC">
        <w:t xml:space="preserve"> </w:t>
      </w:r>
      <w:r w:rsidR="006E18D0">
        <w:t>Rosalind Krauss and Mary Anne Doane, carries</w:t>
      </w:r>
      <w:r w:rsidR="00FE2393" w:rsidRPr="003F122C">
        <w:rPr>
          <w:color w:val="000000" w:themeColor="text1"/>
        </w:rPr>
        <w:t xml:space="preserve">, </w:t>
      </w:r>
      <w:r w:rsidR="005031E5">
        <w:rPr>
          <w:color w:val="000000" w:themeColor="text1"/>
        </w:rPr>
        <w:t>because of</w:t>
      </w:r>
      <w:r w:rsidR="00FE2393" w:rsidRPr="003F122C">
        <w:rPr>
          <w:color w:val="000000" w:themeColor="text1"/>
        </w:rPr>
        <w:t xml:space="preserve"> its shifting transferability, </w:t>
      </w:r>
      <w:r w:rsidR="006E18D0" w:rsidRPr="003F122C">
        <w:rPr>
          <w:color w:val="000000" w:themeColor="text1"/>
        </w:rPr>
        <w:t>an anxiety about losing a stable referent</w:t>
      </w:r>
      <w:r w:rsidR="00FE2393" w:rsidRPr="003F122C">
        <w:rPr>
          <w:color w:val="000000" w:themeColor="text1"/>
        </w:rPr>
        <w:t>,</w:t>
      </w:r>
      <w:r w:rsidR="006E18D0" w:rsidRPr="003F122C">
        <w:rPr>
          <w:color w:val="000000" w:themeColor="text1"/>
        </w:rPr>
        <w:t xml:space="preserve"> </w:t>
      </w:r>
      <w:r w:rsidR="00B109C3" w:rsidRPr="003F122C">
        <w:rPr>
          <w:color w:val="000000" w:themeColor="text1"/>
        </w:rPr>
        <w:t xml:space="preserve">an anxiety manifested in the Brexit </w:t>
      </w:r>
      <w:proofErr w:type="spellStart"/>
      <w:r w:rsidR="00B109C3" w:rsidRPr="003F122C">
        <w:rPr>
          <w:color w:val="000000" w:themeColor="text1"/>
        </w:rPr>
        <w:t>fishermens</w:t>
      </w:r>
      <w:proofErr w:type="spellEnd"/>
      <w:r w:rsidR="00B109C3" w:rsidRPr="003F122C">
        <w:rPr>
          <w:color w:val="000000" w:themeColor="text1"/>
        </w:rPr>
        <w:t xml:space="preserve">’ </w:t>
      </w:r>
      <w:r w:rsidR="000D72ED" w:rsidRPr="003F122C">
        <w:rPr>
          <w:color w:val="000000" w:themeColor="text1"/>
        </w:rPr>
        <w:t>investment in the</w:t>
      </w:r>
      <w:r w:rsidR="006E18D0" w:rsidRPr="003F122C">
        <w:rPr>
          <w:color w:val="000000" w:themeColor="text1"/>
        </w:rPr>
        <w:t xml:space="preserve"> </w:t>
      </w:r>
      <w:r w:rsidR="00B42559">
        <w:rPr>
          <w:color w:val="000000" w:themeColor="text1"/>
        </w:rPr>
        <w:t xml:space="preserve">territorialized </w:t>
      </w:r>
      <w:r w:rsidR="006E18D0" w:rsidRPr="003F122C">
        <w:rPr>
          <w:color w:val="000000" w:themeColor="text1"/>
        </w:rPr>
        <w:t>connectedness</w:t>
      </w:r>
      <w:r w:rsidR="00B109C3" w:rsidRPr="003F122C">
        <w:rPr>
          <w:color w:val="000000" w:themeColor="text1"/>
        </w:rPr>
        <w:t xml:space="preserve"> </w:t>
      </w:r>
      <w:r w:rsidR="00133B28" w:rsidRPr="003F122C">
        <w:rPr>
          <w:color w:val="000000" w:themeColor="text1"/>
        </w:rPr>
        <w:t xml:space="preserve">that </w:t>
      </w:r>
      <w:r w:rsidR="00653CA7" w:rsidRPr="003F122C">
        <w:rPr>
          <w:color w:val="000000" w:themeColor="text1"/>
        </w:rPr>
        <w:t>groun</w:t>
      </w:r>
      <w:r w:rsidR="00B109C3" w:rsidRPr="003F122C">
        <w:rPr>
          <w:color w:val="000000" w:themeColor="text1"/>
        </w:rPr>
        <w:t>ds their</w:t>
      </w:r>
      <w:r w:rsidR="00653CA7" w:rsidRPr="003F122C">
        <w:rPr>
          <w:color w:val="000000" w:themeColor="text1"/>
        </w:rPr>
        <w:t xml:space="preserve"> </w:t>
      </w:r>
      <w:r w:rsidR="00E92885" w:rsidRPr="003F122C">
        <w:rPr>
          <w:color w:val="000000" w:themeColor="text1"/>
        </w:rPr>
        <w:t>claim</w:t>
      </w:r>
      <w:r w:rsidR="00B109C3" w:rsidRPr="003F122C">
        <w:rPr>
          <w:color w:val="000000" w:themeColor="text1"/>
        </w:rPr>
        <w:t xml:space="preserve"> to authentic Britishness</w:t>
      </w:r>
      <w:r w:rsidR="006E18D0" w:rsidRPr="003F122C">
        <w:rPr>
          <w:color w:val="000000" w:themeColor="text1"/>
        </w:rPr>
        <w:t xml:space="preserve">. </w:t>
      </w:r>
      <w:r w:rsidR="000609F8">
        <w:rPr>
          <w:color w:val="000000" w:themeColor="text1"/>
        </w:rPr>
        <w:t xml:space="preserve">At the same time, </w:t>
      </w:r>
      <w:r w:rsidR="004E1CC0">
        <w:rPr>
          <w:color w:val="000000" w:themeColor="text1"/>
        </w:rPr>
        <w:t xml:space="preserve">Humphreys’ and Kugler’s </w:t>
      </w:r>
      <w:r w:rsidR="000609F8">
        <w:rPr>
          <w:color w:val="000000" w:themeColor="text1"/>
        </w:rPr>
        <w:t xml:space="preserve">panorama approach of the various propensities of indexical relations also puts forth an affirmation of British nationality, a joyfulness in the play between people and places and the </w:t>
      </w:r>
      <w:r w:rsidR="00932306">
        <w:rPr>
          <w:color w:val="000000" w:themeColor="text1"/>
        </w:rPr>
        <w:t xml:space="preserve">pride in the </w:t>
      </w:r>
      <w:r w:rsidR="000609F8">
        <w:rPr>
          <w:color w:val="000000" w:themeColor="text1"/>
        </w:rPr>
        <w:t xml:space="preserve">composite national form that is the plate of Fish and Chips. </w:t>
      </w:r>
      <w:r w:rsidR="00C4643C" w:rsidRPr="00CD4BFE">
        <w:rPr>
          <w:color w:val="000000" w:themeColor="text1"/>
        </w:rPr>
        <w:t xml:space="preserve">Kugler and Humphrey’s </w:t>
      </w:r>
      <w:r w:rsidR="00CD4BFE" w:rsidRPr="00CD4BFE">
        <w:rPr>
          <w:color w:val="000000" w:themeColor="text1"/>
        </w:rPr>
        <w:t>indexical practices</w:t>
      </w:r>
      <w:r w:rsidR="00C4643C" w:rsidRPr="00CD4BFE">
        <w:rPr>
          <w:color w:val="000000" w:themeColor="text1"/>
        </w:rPr>
        <w:t xml:space="preserve"> </w:t>
      </w:r>
      <w:r w:rsidR="00CD4BFE" w:rsidRPr="00CD4BFE">
        <w:rPr>
          <w:color w:val="000000" w:themeColor="text1"/>
        </w:rPr>
        <w:t xml:space="preserve">are a </w:t>
      </w:r>
      <w:r w:rsidR="00C4643C" w:rsidRPr="00CD4BFE">
        <w:rPr>
          <w:color w:val="000000" w:themeColor="text1"/>
        </w:rPr>
        <w:t xml:space="preserve">model </w:t>
      </w:r>
      <w:r w:rsidR="00CD4BFE" w:rsidRPr="00CD4BFE">
        <w:rPr>
          <w:color w:val="000000" w:themeColor="text1"/>
        </w:rPr>
        <w:t xml:space="preserve">for </w:t>
      </w:r>
      <w:r w:rsidR="00C4643C" w:rsidRPr="00CD4BFE">
        <w:rPr>
          <w:color w:val="000000" w:themeColor="text1"/>
        </w:rPr>
        <w:t>critically engaged illustration research</w:t>
      </w:r>
      <w:r w:rsidR="00BE0805">
        <w:rPr>
          <w:color w:val="000000" w:themeColor="text1"/>
        </w:rPr>
        <w:t>. Their work has</w:t>
      </w:r>
      <w:r w:rsidR="00C4643C" w:rsidRPr="00CD4BFE">
        <w:rPr>
          <w:color w:val="000000" w:themeColor="text1"/>
        </w:rPr>
        <w:t xml:space="preserve"> </w:t>
      </w:r>
      <w:r w:rsidR="00CD4BFE" w:rsidRPr="00CD4BFE">
        <w:rPr>
          <w:color w:val="000000" w:themeColor="text1"/>
        </w:rPr>
        <w:t xml:space="preserve">also </w:t>
      </w:r>
      <w:proofErr w:type="gramStart"/>
      <w:r w:rsidR="00C4643C" w:rsidRPr="00CD4BFE">
        <w:rPr>
          <w:color w:val="000000" w:themeColor="text1"/>
        </w:rPr>
        <w:t>open</w:t>
      </w:r>
      <w:r w:rsidR="00BE0805">
        <w:rPr>
          <w:color w:val="000000" w:themeColor="text1"/>
        </w:rPr>
        <w:t>ed</w:t>
      </w:r>
      <w:r w:rsidR="00C4643C" w:rsidRPr="00CD4BFE">
        <w:rPr>
          <w:color w:val="000000" w:themeColor="text1"/>
        </w:rPr>
        <w:t xml:space="preserve"> up</w:t>
      </w:r>
      <w:proofErr w:type="gramEnd"/>
      <w:r w:rsidR="00C4643C" w:rsidRPr="00CD4BFE">
        <w:rPr>
          <w:color w:val="000000" w:themeColor="text1"/>
        </w:rPr>
        <w:t xml:space="preserve"> </w:t>
      </w:r>
      <w:r w:rsidR="00CD4BFE" w:rsidRPr="00CD4BFE">
        <w:rPr>
          <w:color w:val="000000" w:themeColor="text1"/>
        </w:rPr>
        <w:t xml:space="preserve">a </w:t>
      </w:r>
      <w:r w:rsidR="00C4643C" w:rsidRPr="00CD4BFE">
        <w:rPr>
          <w:color w:val="000000" w:themeColor="text1"/>
        </w:rPr>
        <w:t xml:space="preserve">larger philosophical </w:t>
      </w:r>
      <w:r w:rsidR="00CD4BFE" w:rsidRPr="00CD4BFE">
        <w:rPr>
          <w:color w:val="000000" w:themeColor="text1"/>
        </w:rPr>
        <w:t xml:space="preserve">proposition about </w:t>
      </w:r>
      <w:r w:rsidR="00C4643C" w:rsidRPr="00CD4BFE">
        <w:rPr>
          <w:color w:val="000000" w:themeColor="text1"/>
        </w:rPr>
        <w:t>illustration</w:t>
      </w:r>
      <w:r w:rsidR="00CD4BFE" w:rsidRPr="00CD4BFE">
        <w:rPr>
          <w:color w:val="000000" w:themeColor="text1"/>
        </w:rPr>
        <w:t xml:space="preserve"> itself: that</w:t>
      </w:r>
      <w:r w:rsidR="00BE0805">
        <w:rPr>
          <w:color w:val="000000" w:themeColor="text1"/>
        </w:rPr>
        <w:t>, unlike other forms of visual discourse,</w:t>
      </w:r>
      <w:r w:rsidR="00CD4BFE" w:rsidRPr="00CD4BFE">
        <w:rPr>
          <w:color w:val="000000" w:themeColor="text1"/>
        </w:rPr>
        <w:t xml:space="preserve"> it operates through a gymnastic, indicative relationality rather than through iconic or mimetic representation. </w:t>
      </w:r>
      <w:r w:rsidR="000609F8" w:rsidRPr="00CD4BFE">
        <w:rPr>
          <w:color w:val="000000" w:themeColor="text1"/>
        </w:rPr>
        <w:t xml:space="preserve"> </w:t>
      </w:r>
      <w:r w:rsidR="00C4643C" w:rsidRPr="00CD4BFE">
        <w:rPr>
          <w:color w:val="000000" w:themeColor="text1"/>
        </w:rPr>
        <w:t xml:space="preserve"> </w:t>
      </w:r>
    </w:p>
    <w:p w14:paraId="26FDCB43" w14:textId="77777777" w:rsidR="00412701" w:rsidRDefault="00412701" w:rsidP="00CD4BFE">
      <w:pPr>
        <w:pStyle w:val="NormalWeb"/>
        <w:spacing w:before="0" w:beforeAutospacing="0" w:line="480" w:lineRule="auto"/>
        <w:rPr>
          <w:color w:val="000000" w:themeColor="text1"/>
        </w:rPr>
      </w:pPr>
    </w:p>
    <w:p w14:paraId="742FE156" w14:textId="77777777" w:rsidR="00F112C5" w:rsidRPr="00F112C5" w:rsidRDefault="00F112C5" w:rsidP="00F112C5">
      <w:pPr>
        <w:rPr>
          <w:kern w:val="2"/>
          <w14:ligatures w14:val="standardContextual"/>
        </w:rPr>
      </w:pPr>
      <w:r w:rsidRPr="00F112C5">
        <w:rPr>
          <w:kern w:val="2"/>
          <w14:ligatures w14:val="standardContextual"/>
        </w:rPr>
        <w:t xml:space="preserve">Figure 1: Introductory image to </w:t>
      </w:r>
      <w:r w:rsidRPr="00F112C5">
        <w:rPr>
          <w:i/>
          <w:iCs/>
          <w:kern w:val="2"/>
          <w14:ligatures w14:val="standardContextual"/>
        </w:rPr>
        <w:t>The Great Fish &amp; Chips</w:t>
      </w:r>
      <w:r w:rsidRPr="00F112C5">
        <w:rPr>
          <w:kern w:val="2"/>
          <w14:ligatures w14:val="standardContextual"/>
        </w:rPr>
        <w:t xml:space="preserve"> book, Andrew Humphreys and Olivier Kugler [publication date TBC]</w:t>
      </w:r>
    </w:p>
    <w:p w14:paraId="6BE490EF" w14:textId="77777777" w:rsidR="00F112C5" w:rsidRPr="00F112C5" w:rsidRDefault="00F112C5" w:rsidP="00F112C5">
      <w:pPr>
        <w:rPr>
          <w:kern w:val="2"/>
          <w14:ligatures w14:val="standardContextual"/>
        </w:rPr>
      </w:pPr>
    </w:p>
    <w:p w14:paraId="3A9901DB" w14:textId="77777777" w:rsidR="00F112C5" w:rsidRPr="00F112C5" w:rsidRDefault="00F112C5" w:rsidP="00F112C5">
      <w:pPr>
        <w:rPr>
          <w:kern w:val="2"/>
          <w14:ligatures w14:val="standardContextual"/>
        </w:rPr>
      </w:pPr>
    </w:p>
    <w:p w14:paraId="1AE91118" w14:textId="77777777" w:rsidR="00F112C5" w:rsidRPr="00F112C5" w:rsidRDefault="00F112C5" w:rsidP="00F112C5">
      <w:pPr>
        <w:spacing w:line="480" w:lineRule="auto"/>
        <w:rPr>
          <w:rFonts w:ascii="Times New Roman" w:eastAsia="Times New Roman" w:hAnsi="Times New Roman" w:cs="Times New Roman"/>
          <w:kern w:val="2"/>
          <w:lang w:eastAsia="en-GB"/>
          <w14:ligatures w14:val="standardContextual"/>
        </w:rPr>
      </w:pPr>
      <w:r w:rsidRPr="00F112C5">
        <w:rPr>
          <w:rFonts w:ascii="Times New Roman" w:eastAsia="Times New Roman" w:hAnsi="Times New Roman" w:cs="Times New Roman"/>
          <w:noProof/>
          <w:kern w:val="2"/>
          <w:lang w:eastAsia="en-GB"/>
          <w14:ligatures w14:val="standardContextual"/>
        </w:rPr>
        <w:lastRenderedPageBreak/>
        <w:drawing>
          <wp:inline distT="0" distB="0" distL="0" distR="0" wp14:anchorId="487365C8" wp14:editId="67948B82">
            <wp:extent cx="5477933" cy="7837940"/>
            <wp:effectExtent l="0" t="0" r="0" b="0"/>
            <wp:docPr id="4" name="Picture 1" descr="Figure 1: Introductory image to The Great Fish &amp; Chips book, Andrew Humphreys and Olivier Kugler [publication date T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Figure 1: Introductory image to The Great Fish &amp; Chips book, Andrew Humphreys and Olivier Kugler [publication date TB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9546" cy="7868864"/>
                    </a:xfrm>
                    <a:prstGeom prst="rect">
                      <a:avLst/>
                    </a:prstGeom>
                    <a:noFill/>
                    <a:ln>
                      <a:noFill/>
                    </a:ln>
                  </pic:spPr>
                </pic:pic>
              </a:graphicData>
            </a:graphic>
          </wp:inline>
        </w:drawing>
      </w:r>
    </w:p>
    <w:p w14:paraId="7A4173B9" w14:textId="77777777" w:rsidR="00F112C5" w:rsidRPr="00F112C5" w:rsidRDefault="00F112C5" w:rsidP="00F112C5">
      <w:pPr>
        <w:spacing w:after="100" w:afterAutospacing="1" w:line="480" w:lineRule="auto"/>
        <w:ind w:firstLine="720"/>
        <w:rPr>
          <w:rFonts w:ascii="Times New Roman" w:eastAsia="Times New Roman" w:hAnsi="Times New Roman" w:cs="Times New Roman"/>
          <w:lang w:eastAsia="en-GB"/>
        </w:rPr>
      </w:pPr>
    </w:p>
    <w:p w14:paraId="3C016E47" w14:textId="77777777" w:rsidR="00F112C5" w:rsidRPr="00F112C5" w:rsidRDefault="00F112C5" w:rsidP="00F112C5">
      <w:pPr>
        <w:spacing w:line="480" w:lineRule="auto"/>
        <w:rPr>
          <w:rFonts w:ascii="Times New Roman" w:eastAsia="Times New Roman" w:hAnsi="Times New Roman" w:cs="Times New Roman"/>
          <w:kern w:val="2"/>
          <w:lang w:eastAsia="en-GB"/>
          <w14:ligatures w14:val="standardContextual"/>
        </w:rPr>
      </w:pPr>
      <w:r w:rsidRPr="00F112C5">
        <w:rPr>
          <w:rFonts w:ascii="Times New Roman" w:eastAsia="Times New Roman" w:hAnsi="Times New Roman" w:cs="Times New Roman"/>
          <w:noProof/>
          <w:kern w:val="2"/>
          <w:lang w:eastAsia="en-GB"/>
          <w14:ligatures w14:val="standardContextual"/>
        </w:rPr>
        <w:lastRenderedPageBreak/>
        <w:drawing>
          <wp:inline distT="0" distB="0" distL="0" distR="0" wp14:anchorId="45F0FAB2" wp14:editId="3AE7381B">
            <wp:extent cx="4251558" cy="5998845"/>
            <wp:effectExtent l="0" t="0" r="3175" b="0"/>
            <wp:docPr id="3" name="Picture 2" descr="Figure 2: proposed book cover, The Great British Fish &amp; C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igure 2: proposed book cover, The Great British Fish &amp; Chip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1361" cy="6012676"/>
                    </a:xfrm>
                    <a:prstGeom prst="rect">
                      <a:avLst/>
                    </a:prstGeom>
                    <a:noFill/>
                    <a:ln>
                      <a:noFill/>
                    </a:ln>
                  </pic:spPr>
                </pic:pic>
              </a:graphicData>
            </a:graphic>
          </wp:inline>
        </w:drawing>
      </w:r>
    </w:p>
    <w:p w14:paraId="1DF06D31" w14:textId="77777777" w:rsidR="00F112C5" w:rsidRPr="00F112C5" w:rsidRDefault="00F112C5" w:rsidP="00F112C5">
      <w:pPr>
        <w:spacing w:after="100" w:afterAutospacing="1" w:line="480" w:lineRule="auto"/>
        <w:rPr>
          <w:rFonts w:ascii="Times New Roman" w:eastAsia="Times New Roman" w:hAnsi="Times New Roman" w:cs="Times New Roman"/>
          <w:lang w:eastAsia="en-GB"/>
        </w:rPr>
      </w:pPr>
      <w:r w:rsidRPr="00F112C5">
        <w:rPr>
          <w:rFonts w:ascii="Times New Roman" w:eastAsia="Times New Roman" w:hAnsi="Times New Roman" w:cs="Times New Roman"/>
          <w:lang w:eastAsia="en-GB"/>
        </w:rPr>
        <w:t xml:space="preserve"> Figure 2: proposed book cover, </w:t>
      </w:r>
      <w:r w:rsidRPr="00F112C5">
        <w:rPr>
          <w:rFonts w:ascii="Times New Roman" w:eastAsia="Times New Roman" w:hAnsi="Times New Roman" w:cs="Times New Roman"/>
          <w:i/>
          <w:iCs/>
          <w:lang w:eastAsia="en-GB"/>
        </w:rPr>
        <w:t>The Great British Fish &amp; Chips</w:t>
      </w:r>
      <w:r w:rsidRPr="00F112C5">
        <w:rPr>
          <w:rFonts w:ascii="Times New Roman" w:eastAsia="Times New Roman" w:hAnsi="Times New Roman" w:cs="Times New Roman"/>
          <w:lang w:eastAsia="en-GB"/>
        </w:rPr>
        <w:t xml:space="preserve"> </w:t>
      </w:r>
    </w:p>
    <w:p w14:paraId="2B99AAA6" w14:textId="77777777" w:rsidR="00F112C5" w:rsidRPr="00F112C5" w:rsidRDefault="00F112C5" w:rsidP="00F112C5">
      <w:pPr>
        <w:spacing w:after="100" w:afterAutospacing="1" w:line="480" w:lineRule="auto"/>
        <w:rPr>
          <w:rFonts w:ascii="Times New Roman" w:eastAsia="Times New Roman" w:hAnsi="Times New Roman" w:cs="Times New Roman"/>
          <w:lang w:eastAsia="en-GB"/>
        </w:rPr>
      </w:pPr>
      <w:r w:rsidRPr="00F112C5">
        <w:rPr>
          <w:rFonts w:ascii="Times New Roman" w:eastAsia="Times New Roman" w:hAnsi="Times New Roman" w:cs="Times New Roman"/>
          <w:noProof/>
          <w:lang w:eastAsia="en-GB"/>
        </w:rPr>
        <w:lastRenderedPageBreak/>
        <w:drawing>
          <wp:inline distT="0" distB="0" distL="0" distR="0" wp14:anchorId="2CF597C1" wp14:editId="16BEBC21">
            <wp:extent cx="5727700" cy="3956050"/>
            <wp:effectExtent l="0" t="0" r="0" b="6350"/>
            <wp:docPr id="6" name="Picture 3" descr="Figure 3, Benny’s Fish &amp;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Figure 3, Benny’s Fish &amp; Chips"/>
                    <pic:cNvPicPr/>
                  </pic:nvPicPr>
                  <pic:blipFill>
                    <a:blip r:embed="rId13"/>
                    <a:stretch>
                      <a:fillRect/>
                    </a:stretch>
                  </pic:blipFill>
                  <pic:spPr>
                    <a:xfrm>
                      <a:off x="0" y="0"/>
                      <a:ext cx="5727700" cy="3956050"/>
                    </a:xfrm>
                    <a:prstGeom prst="rect">
                      <a:avLst/>
                    </a:prstGeom>
                  </pic:spPr>
                </pic:pic>
              </a:graphicData>
            </a:graphic>
          </wp:inline>
        </w:drawing>
      </w:r>
      <w:r w:rsidRPr="00F112C5">
        <w:rPr>
          <w:rFonts w:ascii="Times New Roman" w:eastAsia="Times New Roman" w:hAnsi="Times New Roman" w:cs="Times New Roman"/>
          <w:lang w:eastAsia="en-GB"/>
        </w:rPr>
        <w:t>Figure 3, Benny’s Fish &amp; Chips</w:t>
      </w:r>
    </w:p>
    <w:p w14:paraId="41345E79" w14:textId="77777777" w:rsidR="00F112C5" w:rsidRPr="00F112C5" w:rsidRDefault="00F112C5" w:rsidP="00F112C5">
      <w:pPr>
        <w:spacing w:after="100" w:afterAutospacing="1" w:line="480" w:lineRule="auto"/>
        <w:rPr>
          <w:rFonts w:ascii="Times New Roman" w:eastAsia="Times New Roman" w:hAnsi="Times New Roman" w:cs="Times New Roman"/>
          <w:lang w:eastAsia="en-GB"/>
        </w:rPr>
      </w:pPr>
      <w:r w:rsidRPr="00F112C5">
        <w:rPr>
          <w:rFonts w:ascii="WalbaumCustomOSF" w:eastAsia="Times New Roman" w:hAnsi="WalbaumCustomOSF" w:cs="Times New Roman"/>
          <w:noProof/>
          <w:sz w:val="20"/>
          <w:szCs w:val="20"/>
          <w:lang w:eastAsia="en-GB"/>
        </w:rPr>
        <w:lastRenderedPageBreak/>
        <w:drawing>
          <wp:inline distT="0" distB="0" distL="0" distR="0" wp14:anchorId="728BA694" wp14:editId="6C7B5ABD">
            <wp:extent cx="5727700" cy="3877310"/>
            <wp:effectExtent l="0" t="0" r="0" b="0"/>
            <wp:docPr id="2" name="Picture 4" descr="Figure 4, Fishermens’ protest on the River Thames outside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Figure 4, Fishermens’ protest on the River Thames outside of Parliament"/>
                    <pic:cNvPicPr/>
                  </pic:nvPicPr>
                  <pic:blipFill>
                    <a:blip r:embed="rId14"/>
                    <a:stretch>
                      <a:fillRect/>
                    </a:stretch>
                  </pic:blipFill>
                  <pic:spPr>
                    <a:xfrm>
                      <a:off x="0" y="0"/>
                      <a:ext cx="5727700" cy="3877310"/>
                    </a:xfrm>
                    <a:prstGeom prst="rect">
                      <a:avLst/>
                    </a:prstGeom>
                  </pic:spPr>
                </pic:pic>
              </a:graphicData>
            </a:graphic>
          </wp:inline>
        </w:drawing>
      </w:r>
      <w:r w:rsidRPr="00F112C5">
        <w:rPr>
          <w:rFonts w:ascii="Times New Roman" w:eastAsia="Times New Roman" w:hAnsi="Times New Roman" w:cs="Times New Roman"/>
          <w:lang w:eastAsia="en-GB"/>
        </w:rPr>
        <w:t xml:space="preserve">Figure 4, </w:t>
      </w:r>
      <w:proofErr w:type="spellStart"/>
      <w:r w:rsidRPr="00F112C5">
        <w:rPr>
          <w:rFonts w:ascii="Times New Roman" w:eastAsia="Times New Roman" w:hAnsi="Times New Roman" w:cs="Times New Roman"/>
          <w:lang w:eastAsia="en-GB"/>
        </w:rPr>
        <w:t>Fishermens</w:t>
      </w:r>
      <w:proofErr w:type="spellEnd"/>
      <w:r w:rsidRPr="00F112C5">
        <w:rPr>
          <w:rFonts w:ascii="Times New Roman" w:eastAsia="Times New Roman" w:hAnsi="Times New Roman" w:cs="Times New Roman"/>
          <w:lang w:eastAsia="en-GB"/>
        </w:rPr>
        <w:t xml:space="preserve">’ protest on the </w:t>
      </w:r>
      <w:proofErr w:type="gramStart"/>
      <w:r w:rsidRPr="00F112C5">
        <w:rPr>
          <w:rFonts w:ascii="Times New Roman" w:eastAsia="Times New Roman" w:hAnsi="Times New Roman" w:cs="Times New Roman"/>
          <w:lang w:eastAsia="en-GB"/>
        </w:rPr>
        <w:t>River</w:t>
      </w:r>
      <w:proofErr w:type="gramEnd"/>
      <w:r w:rsidRPr="00F112C5">
        <w:rPr>
          <w:rFonts w:ascii="Times New Roman" w:eastAsia="Times New Roman" w:hAnsi="Times New Roman" w:cs="Times New Roman"/>
          <w:lang w:eastAsia="en-GB"/>
        </w:rPr>
        <w:t xml:space="preserve"> Thames outside of Parliament</w:t>
      </w:r>
    </w:p>
    <w:p w14:paraId="11191C54" w14:textId="77777777" w:rsidR="00F112C5" w:rsidRPr="00F112C5" w:rsidRDefault="00F112C5" w:rsidP="00F112C5">
      <w:pPr>
        <w:spacing w:after="100" w:afterAutospacing="1" w:line="480" w:lineRule="auto"/>
        <w:rPr>
          <w:rFonts w:ascii="WalbaumCustomOSF" w:eastAsia="Times New Roman" w:hAnsi="WalbaumCustomOSF" w:cs="Times New Roman"/>
          <w:sz w:val="20"/>
          <w:szCs w:val="20"/>
          <w:lang w:eastAsia="en-GB"/>
        </w:rPr>
      </w:pPr>
      <w:r w:rsidRPr="00F112C5">
        <w:rPr>
          <w:rFonts w:ascii="WalbaumCustomOSF" w:eastAsia="Times New Roman" w:hAnsi="WalbaumCustomOSF" w:cs="Times New Roman"/>
          <w:noProof/>
          <w:sz w:val="20"/>
          <w:szCs w:val="20"/>
          <w:lang w:eastAsia="en-GB"/>
        </w:rPr>
        <w:drawing>
          <wp:inline distT="0" distB="0" distL="0" distR="0" wp14:anchorId="102BA9AD" wp14:editId="752AED93">
            <wp:extent cx="5727700" cy="3837940"/>
            <wp:effectExtent l="0" t="0" r="0" b="0"/>
            <wp:docPr id="7" name="Picture 5" descr="Figure 5, Darren Kenyon, Skipper of The Sweetwater, Grim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Figure 5, Darren Kenyon, Skipper of The Sweetwater, Grimsby"/>
                    <pic:cNvPicPr/>
                  </pic:nvPicPr>
                  <pic:blipFill>
                    <a:blip r:embed="rId15"/>
                    <a:stretch>
                      <a:fillRect/>
                    </a:stretch>
                  </pic:blipFill>
                  <pic:spPr>
                    <a:xfrm>
                      <a:off x="0" y="0"/>
                      <a:ext cx="5727700" cy="3837940"/>
                    </a:xfrm>
                    <a:prstGeom prst="rect">
                      <a:avLst/>
                    </a:prstGeom>
                  </pic:spPr>
                </pic:pic>
              </a:graphicData>
            </a:graphic>
          </wp:inline>
        </w:drawing>
      </w:r>
      <w:r w:rsidRPr="00F112C5">
        <w:rPr>
          <w:rFonts w:ascii="Times New Roman" w:eastAsia="Times New Roman" w:hAnsi="Times New Roman" w:cs="Times New Roman"/>
          <w:lang w:eastAsia="en-GB"/>
        </w:rPr>
        <w:t>Figure 5, Darren Kenyon, Skipper of The Sweetwater, Grimsby</w:t>
      </w:r>
    </w:p>
    <w:p w14:paraId="0B608A3A" w14:textId="77777777" w:rsidR="00F112C5" w:rsidRPr="00F112C5" w:rsidRDefault="00F112C5" w:rsidP="00F112C5">
      <w:pPr>
        <w:spacing w:after="100" w:afterAutospacing="1" w:line="480" w:lineRule="auto"/>
        <w:rPr>
          <w:rFonts w:ascii="Times New Roman" w:eastAsia="Times New Roman" w:hAnsi="Times New Roman" w:cs="Times New Roman"/>
          <w:lang w:eastAsia="en-GB"/>
        </w:rPr>
      </w:pPr>
      <w:r w:rsidRPr="00F112C5">
        <w:rPr>
          <w:rFonts w:ascii="Times New Roman" w:eastAsia="Times New Roman" w:hAnsi="Times New Roman" w:cs="Times New Roman"/>
          <w:noProof/>
          <w:lang w:eastAsia="en-GB"/>
        </w:rPr>
        <w:lastRenderedPageBreak/>
        <w:drawing>
          <wp:inline distT="0" distB="0" distL="0" distR="0" wp14:anchorId="3CBF66DB" wp14:editId="63E7058F">
            <wp:extent cx="5727700" cy="7562850"/>
            <wp:effectExtent l="0" t="0" r="0" b="6350"/>
            <wp:docPr id="5" name="Picture 6" descr=" Figure 6, Olivier Kugler, working sketch of Beach Buoys Fish &amp; Chips family,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Figure 6, Olivier Kugler, working sketch of Beach Buoys Fish &amp; Chips family, showing "/>
                    <pic:cNvPicPr/>
                  </pic:nvPicPr>
                  <pic:blipFill>
                    <a:blip r:embed="rId16"/>
                    <a:stretch>
                      <a:fillRect/>
                    </a:stretch>
                  </pic:blipFill>
                  <pic:spPr>
                    <a:xfrm>
                      <a:off x="0" y="0"/>
                      <a:ext cx="5727700" cy="7562850"/>
                    </a:xfrm>
                    <a:prstGeom prst="rect">
                      <a:avLst/>
                    </a:prstGeom>
                  </pic:spPr>
                </pic:pic>
              </a:graphicData>
            </a:graphic>
          </wp:inline>
        </w:drawing>
      </w:r>
    </w:p>
    <w:p w14:paraId="11A38008" w14:textId="77777777" w:rsidR="00F112C5" w:rsidRPr="00F112C5" w:rsidRDefault="00F112C5" w:rsidP="00F112C5">
      <w:pPr>
        <w:spacing w:after="100" w:afterAutospacing="1" w:line="480" w:lineRule="auto"/>
        <w:rPr>
          <w:rFonts w:ascii="WalbaumCustomOSF" w:eastAsia="Times New Roman" w:hAnsi="WalbaumCustomOSF" w:cs="Times New Roman"/>
          <w:sz w:val="20"/>
          <w:szCs w:val="20"/>
          <w:lang w:eastAsia="en-GB"/>
        </w:rPr>
      </w:pPr>
      <w:r w:rsidRPr="00F112C5">
        <w:rPr>
          <w:rFonts w:ascii="WalbaumCustomOSF" w:eastAsia="Times New Roman" w:hAnsi="WalbaumCustomOSF" w:cs="Times New Roman"/>
          <w:sz w:val="20"/>
          <w:szCs w:val="20"/>
          <w:lang w:eastAsia="en-GB"/>
        </w:rPr>
        <w:t xml:space="preserve"> </w:t>
      </w:r>
      <w:r w:rsidRPr="00F112C5">
        <w:rPr>
          <w:rFonts w:ascii="Times New Roman" w:eastAsia="Times New Roman" w:hAnsi="Times New Roman" w:cs="Times New Roman"/>
          <w:lang w:eastAsia="en-GB"/>
        </w:rPr>
        <w:t xml:space="preserve">Figure 6, Olivier Kugler, working sketch of Beach Buoys Fish &amp; Chips family, showing prominence of the speech bubbles within the </w:t>
      </w:r>
      <w:proofErr w:type="gramStart"/>
      <w:r w:rsidRPr="00F112C5">
        <w:rPr>
          <w:rFonts w:ascii="Times New Roman" w:eastAsia="Times New Roman" w:hAnsi="Times New Roman" w:cs="Times New Roman"/>
          <w:lang w:eastAsia="en-GB"/>
        </w:rPr>
        <w:t>composition</w:t>
      </w:r>
      <w:proofErr w:type="gramEnd"/>
    </w:p>
    <w:p w14:paraId="47B0CF2B" w14:textId="77777777" w:rsidR="00412701" w:rsidRPr="006373DC" w:rsidRDefault="00412701" w:rsidP="00CD4BFE">
      <w:pPr>
        <w:pStyle w:val="NormalWeb"/>
        <w:spacing w:before="0" w:beforeAutospacing="0" w:line="480" w:lineRule="auto"/>
        <w:rPr>
          <w:color w:val="000000" w:themeColor="text1"/>
        </w:rPr>
      </w:pPr>
    </w:p>
    <w:sectPr w:rsidR="00412701" w:rsidRPr="006373DC" w:rsidSect="00B245AB">
      <w:headerReference w:type="even" r:id="rId17"/>
      <w:headerReference w:type="default" r:id="rId18"/>
      <w:footerReference w:type="even" r:id="rId19"/>
      <w:footerReference w:type="default" r:id="rId20"/>
      <w:headerReference w:type="first" r:id="rId21"/>
      <w:footerReference w:type="first" r:id="rId22"/>
      <w:endnotePr>
        <w:numFmt w:val="decimal"/>
      </w:endnote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A2582" w14:textId="77777777" w:rsidR="00B245AB" w:rsidRDefault="00B245AB" w:rsidP="00EE5505">
      <w:r>
        <w:separator/>
      </w:r>
    </w:p>
  </w:endnote>
  <w:endnote w:type="continuationSeparator" w:id="0">
    <w:p w14:paraId="153A5836" w14:textId="77777777" w:rsidR="00B245AB" w:rsidRDefault="00B245AB" w:rsidP="00EE5505">
      <w:r>
        <w:continuationSeparator/>
      </w:r>
    </w:p>
  </w:endnote>
  <w:endnote w:id="1">
    <w:p w14:paraId="5C9CBB07" w14:textId="2ECEDB16" w:rsidR="007805CB" w:rsidRDefault="007805CB" w:rsidP="007805CB">
      <w:pPr>
        <w:pStyle w:val="EndnoteText"/>
      </w:pPr>
      <w:r>
        <w:rPr>
          <w:rStyle w:val="EndnoteReference"/>
        </w:rPr>
        <w:endnoteRef/>
      </w:r>
      <w:r>
        <w:t xml:space="preserve"> </w:t>
      </w:r>
      <w:r w:rsidRPr="00341A48">
        <w:rPr>
          <w:rFonts w:ascii="Times New Roman" w:hAnsi="Times New Roman" w:cs="Times New Roman"/>
        </w:rPr>
        <w:t xml:space="preserve">Timothy Brennan, </w:t>
      </w:r>
      <w:r w:rsidR="005F0ACF">
        <w:rPr>
          <w:rFonts w:ascii="Times New Roman" w:hAnsi="Times New Roman" w:cs="Times New Roman"/>
        </w:rPr>
        <w:t>“</w:t>
      </w:r>
      <w:r w:rsidRPr="00341A48">
        <w:rPr>
          <w:rFonts w:ascii="Times New Roman" w:hAnsi="Times New Roman" w:cs="Times New Roman"/>
        </w:rPr>
        <w:t xml:space="preserve">The </w:t>
      </w:r>
      <w:r>
        <w:rPr>
          <w:rFonts w:ascii="Times New Roman" w:hAnsi="Times New Roman" w:cs="Times New Roman"/>
        </w:rPr>
        <w:t>N</w:t>
      </w:r>
      <w:r w:rsidRPr="00341A48">
        <w:rPr>
          <w:rFonts w:ascii="Times New Roman" w:hAnsi="Times New Roman" w:cs="Times New Roman"/>
        </w:rPr>
        <w:t xml:space="preserve">ational </w:t>
      </w:r>
      <w:r>
        <w:rPr>
          <w:rFonts w:ascii="Times New Roman" w:hAnsi="Times New Roman" w:cs="Times New Roman"/>
        </w:rPr>
        <w:t>L</w:t>
      </w:r>
      <w:r w:rsidRPr="00341A48">
        <w:rPr>
          <w:rFonts w:ascii="Times New Roman" w:hAnsi="Times New Roman" w:cs="Times New Roman"/>
        </w:rPr>
        <w:t xml:space="preserve">onging for </w:t>
      </w:r>
      <w:r>
        <w:rPr>
          <w:rFonts w:ascii="Times New Roman" w:hAnsi="Times New Roman" w:cs="Times New Roman"/>
        </w:rPr>
        <w:t>F</w:t>
      </w:r>
      <w:r w:rsidRPr="00341A48">
        <w:rPr>
          <w:rFonts w:ascii="Times New Roman" w:hAnsi="Times New Roman" w:cs="Times New Roman"/>
        </w:rPr>
        <w:t xml:space="preserve">orm,” in </w:t>
      </w:r>
      <w:r w:rsidRPr="00341A48">
        <w:rPr>
          <w:rFonts w:ascii="Times New Roman" w:hAnsi="Times New Roman" w:cs="Times New Roman"/>
          <w:i/>
          <w:iCs/>
        </w:rPr>
        <w:t>Nation and Narration</w:t>
      </w:r>
      <w:r w:rsidRPr="00341A48">
        <w:rPr>
          <w:rFonts w:ascii="Times New Roman" w:hAnsi="Times New Roman" w:cs="Times New Roman"/>
        </w:rPr>
        <w:t>, ed. Hom</w:t>
      </w:r>
      <w:r>
        <w:rPr>
          <w:rFonts w:ascii="Times New Roman" w:hAnsi="Times New Roman" w:cs="Times New Roman"/>
        </w:rPr>
        <w:t>i</w:t>
      </w:r>
      <w:r w:rsidRPr="00341A48">
        <w:rPr>
          <w:rFonts w:ascii="Times New Roman" w:hAnsi="Times New Roman" w:cs="Times New Roman"/>
        </w:rPr>
        <w:t xml:space="preserve"> K. </w:t>
      </w:r>
      <w:proofErr w:type="spellStart"/>
      <w:r w:rsidRPr="00341A48">
        <w:rPr>
          <w:rFonts w:ascii="Times New Roman" w:hAnsi="Times New Roman" w:cs="Times New Roman"/>
        </w:rPr>
        <w:t>Bhaba</w:t>
      </w:r>
      <w:proofErr w:type="spellEnd"/>
      <w:r w:rsidRPr="00341A48">
        <w:rPr>
          <w:rFonts w:ascii="Times New Roman" w:hAnsi="Times New Roman" w:cs="Times New Roman"/>
        </w:rPr>
        <w:t>, Routledge, 1990.</w:t>
      </w:r>
    </w:p>
  </w:endnote>
  <w:endnote w:id="2">
    <w:p w14:paraId="69BAC87D" w14:textId="586A0628" w:rsidR="00862C73" w:rsidRDefault="00862C73">
      <w:pPr>
        <w:pStyle w:val="EndnoteText"/>
      </w:pPr>
      <w:r>
        <w:rPr>
          <w:rStyle w:val="EndnoteReference"/>
        </w:rPr>
        <w:endnoteRef/>
      </w:r>
      <w:r>
        <w:t xml:space="preserve"> </w:t>
      </w:r>
      <w:r w:rsidRPr="00341A48">
        <w:rPr>
          <w:rFonts w:ascii="Times New Roman" w:hAnsi="Times New Roman" w:cs="Times New Roman"/>
        </w:rPr>
        <w:t xml:space="preserve">Mary Ann Doane, “Indexicality: Trace and Sign, Introduction,” in </w:t>
      </w:r>
      <w:r w:rsidRPr="00341A48">
        <w:rPr>
          <w:rFonts w:ascii="Times New Roman" w:hAnsi="Times New Roman" w:cs="Times New Roman"/>
          <w:i/>
          <w:iCs/>
        </w:rPr>
        <w:t>Differences: A Journal of Feminist Cultural Studies:</w:t>
      </w:r>
      <w:r w:rsidR="0000683F">
        <w:rPr>
          <w:rFonts w:ascii="Times New Roman" w:hAnsi="Times New Roman" w:cs="Times New Roman"/>
          <w:i/>
          <w:iCs/>
        </w:rPr>
        <w:t xml:space="preserve"> </w:t>
      </w:r>
      <w:r w:rsidRPr="00341A48">
        <w:rPr>
          <w:rFonts w:ascii="Times New Roman" w:hAnsi="Times New Roman" w:cs="Times New Roman"/>
          <w:i/>
          <w:iCs/>
        </w:rPr>
        <w:t>Indexicality: Trace and Sign</w:t>
      </w:r>
      <w:r w:rsidRPr="00341A48">
        <w:rPr>
          <w:rFonts w:ascii="Times New Roman" w:hAnsi="Times New Roman" w:cs="Times New Roman"/>
        </w:rPr>
        <w:t xml:space="preserve">, vol 18, number 1, Spring 2007, </w:t>
      </w:r>
      <w:r>
        <w:rPr>
          <w:rFonts w:ascii="Times New Roman" w:hAnsi="Times New Roman" w:cs="Times New Roman"/>
        </w:rPr>
        <w:t>6.</w:t>
      </w:r>
    </w:p>
  </w:endnote>
  <w:endnote w:id="3">
    <w:p w14:paraId="162D273A" w14:textId="030B132E" w:rsidR="00BB525E" w:rsidRPr="00A73466" w:rsidRDefault="00BB525E">
      <w:pPr>
        <w:pStyle w:val="EndnoteText"/>
        <w:rPr>
          <w:rFonts w:ascii="Times New Roman" w:hAnsi="Times New Roman" w:cs="Times New Roman"/>
        </w:rPr>
      </w:pPr>
      <w:r>
        <w:rPr>
          <w:rStyle w:val="EndnoteReference"/>
        </w:rPr>
        <w:endnoteRef/>
      </w:r>
      <w:r>
        <w:t xml:space="preserve"> </w:t>
      </w:r>
      <w:r w:rsidRPr="00341A48">
        <w:rPr>
          <w:rFonts w:ascii="Times New Roman" w:hAnsi="Times New Roman" w:cs="Times New Roman"/>
        </w:rPr>
        <w:t>Andrew Humphreys</w:t>
      </w:r>
      <w:r>
        <w:rPr>
          <w:rFonts w:ascii="Times New Roman" w:hAnsi="Times New Roman" w:cs="Times New Roman"/>
        </w:rPr>
        <w:t xml:space="preserve"> and </w:t>
      </w:r>
      <w:r w:rsidRPr="00341A48">
        <w:rPr>
          <w:rFonts w:ascii="Times New Roman" w:hAnsi="Times New Roman" w:cs="Times New Roman"/>
        </w:rPr>
        <w:t>Olivier Kugler</w:t>
      </w:r>
      <w:r w:rsidRPr="00080C1C">
        <w:rPr>
          <w:rFonts w:ascii="Times New Roman" w:hAnsi="Times New Roman" w:cs="Times New Roman"/>
        </w:rPr>
        <w:t>, ‘The Great Fish &amp; Chips’, unpublished PDF, 2022</w:t>
      </w:r>
      <w:r w:rsidR="00A73466">
        <w:rPr>
          <w:rFonts w:ascii="Times New Roman" w:hAnsi="Times New Roman" w:cs="Times New Roman"/>
        </w:rPr>
        <w:t>.</w:t>
      </w:r>
    </w:p>
  </w:endnote>
  <w:endnote w:id="4">
    <w:p w14:paraId="0F7B5981" w14:textId="1BAFF9F0" w:rsidR="00BB41B0" w:rsidRPr="00523139" w:rsidRDefault="00BB41B0" w:rsidP="00523139">
      <w:pPr>
        <w:pStyle w:val="NormalWeb"/>
        <w:rPr>
          <w:sz w:val="20"/>
          <w:szCs w:val="20"/>
        </w:rPr>
      </w:pPr>
      <w:r>
        <w:rPr>
          <w:rStyle w:val="EndnoteReference"/>
        </w:rPr>
        <w:endnoteRef/>
      </w:r>
      <w:r>
        <w:t xml:space="preserve"> </w:t>
      </w:r>
      <w:r>
        <w:rPr>
          <w:sz w:val="20"/>
          <w:szCs w:val="20"/>
        </w:rPr>
        <w:t xml:space="preserve">In their proposal, Humphreys and Kugler </w:t>
      </w:r>
      <w:r w:rsidRPr="00BB41B0">
        <w:rPr>
          <w:sz w:val="20"/>
          <w:szCs w:val="20"/>
        </w:rPr>
        <w:t>plan a</w:t>
      </w:r>
      <w:r>
        <w:rPr>
          <w:sz w:val="20"/>
          <w:szCs w:val="20"/>
        </w:rPr>
        <w:t xml:space="preserve"> large format, full-colour</w:t>
      </w:r>
      <w:r w:rsidR="00FD09AF">
        <w:rPr>
          <w:sz w:val="20"/>
          <w:szCs w:val="20"/>
        </w:rPr>
        <w:t xml:space="preserve"> book</w:t>
      </w:r>
      <w:r w:rsidR="0069128F">
        <w:rPr>
          <w:sz w:val="20"/>
          <w:szCs w:val="20"/>
        </w:rPr>
        <w:t xml:space="preserve"> of </w:t>
      </w:r>
      <w:r>
        <w:rPr>
          <w:sz w:val="20"/>
          <w:szCs w:val="20"/>
        </w:rPr>
        <w:t>240 pages, building upon previously the published stories</w:t>
      </w:r>
      <w:r w:rsidRPr="00BB41B0">
        <w:rPr>
          <w:sz w:val="20"/>
          <w:szCs w:val="20"/>
        </w:rPr>
        <w:t xml:space="preserve"> ‘Last Night</w:t>
      </w:r>
      <w:r>
        <w:rPr>
          <w:sz w:val="20"/>
          <w:szCs w:val="20"/>
        </w:rPr>
        <w:t xml:space="preserve"> </w:t>
      </w:r>
      <w:r w:rsidRPr="00BB41B0">
        <w:rPr>
          <w:sz w:val="20"/>
          <w:szCs w:val="20"/>
        </w:rPr>
        <w:t xml:space="preserve">at Benny’s’ for French magazine </w:t>
      </w:r>
      <w:r w:rsidRPr="00BB41B0">
        <w:rPr>
          <w:i/>
          <w:iCs/>
          <w:sz w:val="20"/>
          <w:szCs w:val="20"/>
        </w:rPr>
        <w:t>XXI</w:t>
      </w:r>
      <w:r w:rsidRPr="00BB41B0">
        <w:rPr>
          <w:sz w:val="20"/>
          <w:szCs w:val="20"/>
        </w:rPr>
        <w:t xml:space="preserve"> </w:t>
      </w:r>
      <w:r>
        <w:rPr>
          <w:sz w:val="20"/>
          <w:szCs w:val="20"/>
        </w:rPr>
        <w:t>(S</w:t>
      </w:r>
      <w:r w:rsidRPr="00BB41B0">
        <w:rPr>
          <w:sz w:val="20"/>
          <w:szCs w:val="20"/>
        </w:rPr>
        <w:t>ummer 2020</w:t>
      </w:r>
      <w:r>
        <w:rPr>
          <w:sz w:val="20"/>
          <w:szCs w:val="20"/>
        </w:rPr>
        <w:t>);</w:t>
      </w:r>
      <w:r w:rsidRPr="00BB41B0">
        <w:rPr>
          <w:sz w:val="20"/>
          <w:szCs w:val="20"/>
        </w:rPr>
        <w:t xml:space="preserve"> and </w:t>
      </w:r>
      <w:r>
        <w:rPr>
          <w:sz w:val="20"/>
          <w:szCs w:val="20"/>
        </w:rPr>
        <w:t>on an</w:t>
      </w:r>
      <w:r w:rsidRPr="00BB41B0">
        <w:rPr>
          <w:sz w:val="20"/>
          <w:szCs w:val="20"/>
        </w:rPr>
        <w:t xml:space="preserve">other </w:t>
      </w:r>
      <w:r>
        <w:rPr>
          <w:sz w:val="20"/>
          <w:szCs w:val="20"/>
        </w:rPr>
        <w:t xml:space="preserve">story </w:t>
      </w:r>
      <w:r w:rsidRPr="00BB41B0">
        <w:rPr>
          <w:sz w:val="20"/>
          <w:szCs w:val="20"/>
        </w:rPr>
        <w:t xml:space="preserve">explaining why fishing was at the heart of Brexit, for Swiss magazine </w:t>
      </w:r>
      <w:proofErr w:type="spellStart"/>
      <w:r w:rsidRPr="00BB41B0">
        <w:rPr>
          <w:i/>
          <w:iCs/>
          <w:sz w:val="20"/>
          <w:szCs w:val="20"/>
        </w:rPr>
        <w:t>Reportagen</w:t>
      </w:r>
      <w:proofErr w:type="spellEnd"/>
      <w:r w:rsidRPr="00BB41B0">
        <w:rPr>
          <w:sz w:val="20"/>
          <w:szCs w:val="20"/>
        </w:rPr>
        <w:t xml:space="preserve"> </w:t>
      </w:r>
      <w:r>
        <w:rPr>
          <w:sz w:val="20"/>
          <w:szCs w:val="20"/>
        </w:rPr>
        <w:t>(</w:t>
      </w:r>
      <w:r w:rsidRPr="00BB41B0">
        <w:rPr>
          <w:sz w:val="20"/>
          <w:szCs w:val="20"/>
        </w:rPr>
        <w:t>Autumn 2020</w:t>
      </w:r>
      <w:r>
        <w:rPr>
          <w:sz w:val="20"/>
          <w:szCs w:val="20"/>
        </w:rPr>
        <w:t>)</w:t>
      </w:r>
      <w:r w:rsidRPr="00BB41B0">
        <w:rPr>
          <w:sz w:val="20"/>
          <w:szCs w:val="20"/>
        </w:rPr>
        <w:t>.</w:t>
      </w:r>
    </w:p>
  </w:endnote>
  <w:endnote w:id="5">
    <w:p w14:paraId="1C3F8650" w14:textId="137B7718" w:rsidR="001902DE" w:rsidRDefault="001902DE">
      <w:pPr>
        <w:pStyle w:val="EndnoteText"/>
      </w:pPr>
      <w:r w:rsidRPr="0098348F">
        <w:rPr>
          <w:rStyle w:val="EndnoteReference"/>
          <w:rFonts w:ascii="Times New Roman" w:hAnsi="Times New Roman" w:cs="Times New Roman"/>
        </w:rPr>
        <w:endnoteRef/>
      </w:r>
      <w:r w:rsidRPr="0098348F">
        <w:rPr>
          <w:rFonts w:ascii="Times New Roman" w:hAnsi="Times New Roman" w:cs="Times New Roman"/>
        </w:rPr>
        <w:t xml:space="preserve"> </w:t>
      </w:r>
      <w:r w:rsidRPr="0098348F">
        <w:rPr>
          <w:rFonts w:ascii="Times New Roman" w:hAnsi="Times New Roman" w:cs="Times New Roman"/>
          <w:color w:val="1D2228"/>
        </w:rPr>
        <w:t>Keynote Address, Humphreys and Kugler, 12</w:t>
      </w:r>
      <w:r w:rsidRPr="0098348F">
        <w:rPr>
          <w:rFonts w:ascii="Times New Roman" w:hAnsi="Times New Roman" w:cs="Times New Roman"/>
          <w:color w:val="1D2228"/>
          <w:vertAlign w:val="superscript"/>
        </w:rPr>
        <w:t>th</w:t>
      </w:r>
      <w:r w:rsidRPr="0098348F">
        <w:rPr>
          <w:rFonts w:ascii="Times New Roman" w:hAnsi="Times New Roman" w:cs="Times New Roman"/>
          <w:color w:val="1D2228"/>
        </w:rPr>
        <w:t xml:space="preserve"> Annual International Illustration Research Symposium, Falmouth University, July 15, 2022</w:t>
      </w:r>
      <w:r w:rsidR="0098348F">
        <w:rPr>
          <w:color w:val="1D2228"/>
        </w:rPr>
        <w:t>.</w:t>
      </w:r>
    </w:p>
  </w:endnote>
  <w:endnote w:id="6">
    <w:p w14:paraId="0F003749" w14:textId="61A1D4FC" w:rsidR="004D336E" w:rsidRDefault="004D336E">
      <w:pPr>
        <w:pStyle w:val="EndnoteText"/>
      </w:pPr>
      <w:r>
        <w:rPr>
          <w:rStyle w:val="EndnoteReference"/>
        </w:rPr>
        <w:endnoteRef/>
      </w:r>
      <w:r>
        <w:t xml:space="preserve"> </w:t>
      </w:r>
      <w:r w:rsidR="00120970" w:rsidRPr="00120970">
        <w:rPr>
          <w:rFonts w:ascii="Times New Roman" w:hAnsi="Times New Roman" w:cs="Times New Roman"/>
        </w:rPr>
        <w:t>Definition of ‘</w:t>
      </w:r>
      <w:r w:rsidRPr="00120970">
        <w:rPr>
          <w:rFonts w:ascii="Times New Roman" w:hAnsi="Times New Roman" w:cs="Times New Roman"/>
        </w:rPr>
        <w:t>territorial waters</w:t>
      </w:r>
      <w:r w:rsidR="00120970" w:rsidRPr="00120970">
        <w:rPr>
          <w:rFonts w:ascii="Times New Roman" w:hAnsi="Times New Roman" w:cs="Times New Roman"/>
        </w:rPr>
        <w:t xml:space="preserve">’: </w:t>
      </w:r>
      <w:r w:rsidRPr="00120970">
        <w:rPr>
          <w:rFonts w:ascii="Times New Roman" w:hAnsi="Times New Roman" w:cs="Times New Roman"/>
        </w:rPr>
        <w:t>‘the waters under the sovereign jurisdiction of a nation or state including both marginal sea and inland waters</w:t>
      </w:r>
      <w:r w:rsidR="00120970" w:rsidRPr="00120970">
        <w:rPr>
          <w:rFonts w:ascii="Times New Roman" w:hAnsi="Times New Roman" w:cs="Times New Roman"/>
        </w:rPr>
        <w:t>,’ Merriam-Webster dictionary, https://www.merriam-webster.com/dictionary/territorial%20waters.</w:t>
      </w:r>
    </w:p>
  </w:endnote>
  <w:endnote w:id="7">
    <w:p w14:paraId="2990A5F9" w14:textId="623C2DD5" w:rsidR="00B564B6" w:rsidRPr="00B564B6" w:rsidRDefault="00B564B6">
      <w:pPr>
        <w:pStyle w:val="EndnoteText"/>
        <w:rPr>
          <w:rFonts w:ascii="Times New Roman" w:hAnsi="Times New Roman" w:cs="Times New Roman"/>
        </w:rPr>
      </w:pPr>
      <w:r>
        <w:rPr>
          <w:rStyle w:val="EndnoteReference"/>
        </w:rPr>
        <w:endnoteRef/>
      </w:r>
      <w:r>
        <w:t xml:space="preserve"> </w:t>
      </w:r>
      <w:r w:rsidRPr="00B564B6">
        <w:rPr>
          <w:rFonts w:ascii="Times New Roman" w:hAnsi="Times New Roman" w:cs="Times New Roman"/>
        </w:rPr>
        <w:t>Keynote address, Kugler and Humphreys, July 1</w:t>
      </w:r>
      <w:r>
        <w:rPr>
          <w:rFonts w:ascii="Times New Roman" w:hAnsi="Times New Roman" w:cs="Times New Roman"/>
        </w:rPr>
        <w:t>5</w:t>
      </w:r>
      <w:r w:rsidRPr="00B564B6">
        <w:rPr>
          <w:rFonts w:ascii="Times New Roman" w:hAnsi="Times New Roman" w:cs="Times New Roman"/>
        </w:rPr>
        <w:t>, 202</w:t>
      </w:r>
      <w:r>
        <w:rPr>
          <w:rFonts w:ascii="Times New Roman" w:hAnsi="Times New Roman" w:cs="Times New Roman"/>
        </w:rPr>
        <w:t>2.</w:t>
      </w:r>
    </w:p>
  </w:endnote>
  <w:endnote w:id="8">
    <w:p w14:paraId="490DAB84" w14:textId="26EE5970" w:rsidR="004B1049" w:rsidRPr="004B1049" w:rsidRDefault="004B1049">
      <w:pPr>
        <w:pStyle w:val="EndnoteText"/>
        <w:rPr>
          <w:rFonts w:ascii="Times New Roman" w:hAnsi="Times New Roman" w:cs="Times New Roman"/>
        </w:rPr>
      </w:pPr>
      <w:r w:rsidRPr="004B1049">
        <w:rPr>
          <w:rStyle w:val="EndnoteReference"/>
          <w:rFonts w:ascii="Times New Roman" w:hAnsi="Times New Roman" w:cs="Times New Roman"/>
          <w:color w:val="000000" w:themeColor="text1"/>
        </w:rPr>
        <w:endnoteRef/>
      </w:r>
      <w:r w:rsidRPr="004B1049">
        <w:rPr>
          <w:rFonts w:ascii="Times New Roman" w:hAnsi="Times New Roman" w:cs="Times New Roman"/>
          <w:color w:val="000000" w:themeColor="text1"/>
        </w:rPr>
        <w:t xml:space="preserve"> </w:t>
      </w:r>
      <w:hyperlink r:id="rId1" w:history="1">
        <w:r w:rsidRPr="004B1049">
          <w:rPr>
            <w:rStyle w:val="Hyperlink"/>
            <w:rFonts w:ascii="Times New Roman" w:hAnsi="Times New Roman" w:cs="Times New Roman"/>
            <w:color w:val="000000" w:themeColor="text1"/>
            <w:u w:val="none"/>
          </w:rPr>
          <w:t>https://www.bloomsbury.com/uk/reportage-illustration-9781350031883/</w:t>
        </w:r>
      </w:hyperlink>
      <w:r w:rsidRPr="004B1049">
        <w:rPr>
          <w:rFonts w:ascii="Times New Roman" w:hAnsi="Times New Roman" w:cs="Times New Roman"/>
          <w:color w:val="000000" w:themeColor="text1"/>
        </w:rPr>
        <w:t xml:space="preserve">. Blurb from website for </w:t>
      </w:r>
      <w:r w:rsidRPr="004B1049">
        <w:rPr>
          <w:rFonts w:ascii="Times New Roman" w:hAnsi="Times New Roman" w:cs="Times New Roman"/>
          <w:i/>
          <w:iCs/>
          <w:color w:val="000000" w:themeColor="text1"/>
          <w:spacing w:val="-1"/>
          <w:shd w:val="clear" w:color="auto" w:fill="FFFFFF"/>
        </w:rPr>
        <w:t>Reportage Illustration</w:t>
      </w:r>
      <w:r w:rsidRPr="004B1049">
        <w:rPr>
          <w:rFonts w:ascii="Times New Roman" w:hAnsi="Times New Roman" w:cs="Times New Roman"/>
          <w:color w:val="000000" w:themeColor="text1"/>
          <w:spacing w:val="-1"/>
          <w:shd w:val="clear" w:color="auto" w:fill="FFFFFF"/>
        </w:rPr>
        <w:t xml:space="preserve">: </w:t>
      </w:r>
      <w:r w:rsidRPr="004B1049">
        <w:rPr>
          <w:rFonts w:ascii="Times New Roman" w:hAnsi="Times New Roman" w:cs="Times New Roman"/>
          <w:i/>
          <w:iCs/>
          <w:color w:val="000000" w:themeColor="text1"/>
          <w:spacing w:val="-1"/>
          <w:shd w:val="clear" w:color="auto" w:fill="FFFFFF"/>
        </w:rPr>
        <w:t>Visual Journalism</w:t>
      </w:r>
      <w:r w:rsidRPr="004B1049">
        <w:rPr>
          <w:rFonts w:ascii="Times New Roman" w:hAnsi="Times New Roman" w:cs="Times New Roman"/>
          <w:color w:val="000000" w:themeColor="text1"/>
          <w:spacing w:val="-1"/>
          <w:shd w:val="clear" w:color="auto" w:fill="FFFFFF"/>
        </w:rPr>
        <w:t>, Gary Embury and Mario Minichiello, London: Bloomsbury, 2018</w:t>
      </w:r>
      <w:r w:rsidR="001416D5">
        <w:rPr>
          <w:rFonts w:ascii="Times New Roman" w:hAnsi="Times New Roman" w:cs="Times New Roman"/>
          <w:color w:val="000000" w:themeColor="text1"/>
          <w:spacing w:val="-1"/>
          <w:shd w:val="clear" w:color="auto" w:fill="FFFFFF"/>
        </w:rPr>
        <w:t>.</w:t>
      </w:r>
    </w:p>
  </w:endnote>
  <w:endnote w:id="9">
    <w:p w14:paraId="3B9F4140" w14:textId="51E69F53" w:rsidR="00421DAC" w:rsidRPr="00421DAC" w:rsidRDefault="00421DAC">
      <w:pPr>
        <w:pStyle w:val="EndnoteText"/>
        <w:rPr>
          <w:rFonts w:ascii="Times New Roman" w:hAnsi="Times New Roman" w:cs="Times New Roman"/>
        </w:rPr>
      </w:pPr>
      <w:r w:rsidRPr="00421DAC">
        <w:rPr>
          <w:rStyle w:val="EndnoteReference"/>
          <w:rFonts w:ascii="Times New Roman" w:hAnsi="Times New Roman" w:cs="Times New Roman"/>
        </w:rPr>
        <w:endnoteRef/>
      </w:r>
      <w:r w:rsidRPr="00421DAC">
        <w:rPr>
          <w:rFonts w:ascii="Times New Roman" w:hAnsi="Times New Roman" w:cs="Times New Roman"/>
        </w:rPr>
        <w:t xml:space="preserve"> </w:t>
      </w:r>
      <w:r w:rsidRPr="00341A48">
        <w:rPr>
          <w:rFonts w:ascii="Times New Roman" w:hAnsi="Times New Roman" w:cs="Times New Roman"/>
        </w:rPr>
        <w:t xml:space="preserve">Rosalind Krauss, “Notes on the Index: Seventies Art in America,” </w:t>
      </w:r>
      <w:r w:rsidRPr="00341A48">
        <w:rPr>
          <w:rFonts w:ascii="Times New Roman" w:hAnsi="Times New Roman" w:cs="Times New Roman"/>
          <w:i/>
          <w:iCs/>
        </w:rPr>
        <w:t>October</w:t>
      </w:r>
      <w:r w:rsidRPr="00341A48">
        <w:rPr>
          <w:rFonts w:ascii="Times New Roman" w:hAnsi="Times New Roman" w:cs="Times New Roman"/>
        </w:rPr>
        <w:t xml:space="preserve"> </w:t>
      </w:r>
      <w:hyperlink r:id="rId2" w:history="1">
        <w:r w:rsidRPr="00341A48">
          <w:rPr>
            <w:rFonts w:ascii="Times New Roman" w:eastAsia="Times New Roman" w:hAnsi="Times New Roman" w:cs="Times New Roman"/>
            <w:color w:val="0000FF"/>
            <w:u w:val="single"/>
            <w:lang w:eastAsia="en-GB"/>
          </w:rPr>
          <w:t>Vol. 3</w:t>
        </w:r>
        <w:r>
          <w:rPr>
            <w:rFonts w:ascii="Times New Roman" w:eastAsia="Times New Roman" w:hAnsi="Times New Roman" w:cs="Times New Roman"/>
            <w:color w:val="0000FF"/>
            <w:u w:val="single"/>
            <w:lang w:eastAsia="en-GB"/>
          </w:rPr>
          <w:t xml:space="preserve"> </w:t>
        </w:r>
        <w:r w:rsidRPr="00341A48">
          <w:rPr>
            <w:rFonts w:ascii="Times New Roman" w:eastAsia="Times New Roman" w:hAnsi="Times New Roman" w:cs="Times New Roman"/>
            <w:color w:val="0000FF"/>
            <w:u w:val="single"/>
            <w:lang w:eastAsia="en-GB"/>
          </w:rPr>
          <w:t>(Spring, 1977)</w:t>
        </w:r>
      </w:hyperlink>
      <w:r w:rsidRPr="00341A48">
        <w:rPr>
          <w:rFonts w:ascii="Times New Roman" w:eastAsia="Times New Roman" w:hAnsi="Times New Roman" w:cs="Times New Roman"/>
          <w:lang w:eastAsia="en-GB"/>
        </w:rPr>
        <w:t>, pp. 68-81, The MIT Press</w:t>
      </w:r>
      <w:r>
        <w:rPr>
          <w:rFonts w:ascii="Times New Roman" w:eastAsia="Times New Roman" w:hAnsi="Times New Roman" w:cs="Times New Roman"/>
          <w:lang w:eastAsia="en-GB"/>
        </w:rPr>
        <w:t>, 70.</w:t>
      </w:r>
    </w:p>
  </w:endnote>
  <w:endnote w:id="10">
    <w:p w14:paraId="0D2B1037" w14:textId="6AC67077" w:rsidR="0019117D" w:rsidRPr="00A73466" w:rsidRDefault="0019117D">
      <w:pPr>
        <w:pStyle w:val="EndnoteText"/>
        <w:rPr>
          <w:rFonts w:ascii="Times New Roman" w:hAnsi="Times New Roman" w:cs="Times New Roman"/>
          <w:color w:val="3B3D3F"/>
          <w:shd w:val="clear" w:color="auto" w:fill="FFFFFF"/>
        </w:rPr>
      </w:pPr>
      <w:r>
        <w:rPr>
          <w:rStyle w:val="EndnoteReference"/>
        </w:rPr>
        <w:endnoteRef/>
      </w:r>
      <w:r>
        <w:t xml:space="preserve"> </w:t>
      </w:r>
      <w:r w:rsidR="0097610E">
        <w:rPr>
          <w:rFonts w:ascii="Times New Roman" w:hAnsi="Times New Roman" w:cs="Times New Roman"/>
        </w:rPr>
        <w:t xml:space="preserve">See </w:t>
      </w:r>
      <w:r w:rsidRPr="00341A48">
        <w:rPr>
          <w:rFonts w:ascii="Times New Roman" w:hAnsi="Times New Roman" w:cs="Times New Roman"/>
        </w:rPr>
        <w:t xml:space="preserve">Roman Jakobson, </w:t>
      </w:r>
      <w:r w:rsidRPr="005349A9">
        <w:rPr>
          <w:rFonts w:ascii="Times New Roman" w:hAnsi="Times New Roman" w:cs="Times New Roman"/>
          <w:color w:val="000000" w:themeColor="text1"/>
          <w:shd w:val="clear" w:color="auto" w:fill="FFFFFF"/>
        </w:rPr>
        <w:t>“Shifters, Verbal Categories, and the Russian Verb.”</w:t>
      </w:r>
      <w:r w:rsidRPr="005349A9">
        <w:rPr>
          <w:rStyle w:val="apple-converted-space"/>
          <w:rFonts w:ascii="Times New Roman" w:hAnsi="Times New Roman" w:cs="Times New Roman"/>
          <w:color w:val="000000" w:themeColor="text1"/>
          <w:shd w:val="clear" w:color="auto" w:fill="FFFFFF"/>
        </w:rPr>
        <w:t> </w:t>
      </w:r>
      <w:r w:rsidRPr="005349A9">
        <w:rPr>
          <w:rFonts w:ascii="Times New Roman" w:hAnsi="Times New Roman" w:cs="Times New Roman"/>
          <w:i/>
          <w:iCs/>
          <w:color w:val="000000" w:themeColor="text1"/>
        </w:rPr>
        <w:t>Volume II Word and Language</w:t>
      </w:r>
      <w:r w:rsidRPr="005349A9">
        <w:rPr>
          <w:rFonts w:ascii="Times New Roman" w:hAnsi="Times New Roman" w:cs="Times New Roman"/>
          <w:color w:val="000000" w:themeColor="text1"/>
          <w:shd w:val="clear" w:color="auto" w:fill="FFFFFF"/>
        </w:rPr>
        <w:t xml:space="preserve">, Berlin, New York: De Gruyter Mouton, 1971, pp. 130-147. </w:t>
      </w:r>
      <w:r w:rsidRPr="00341A48">
        <w:rPr>
          <w:rFonts w:ascii="Times New Roman" w:hAnsi="Times New Roman" w:cs="Times New Roman"/>
        </w:rPr>
        <w:t xml:space="preserve">Although Jakobson is often cited as Lacan’s inspiration for the term ‘Shifter’ in language, Thomas A. </w:t>
      </w:r>
      <w:proofErr w:type="spellStart"/>
      <w:r w:rsidRPr="00341A48">
        <w:rPr>
          <w:rFonts w:ascii="Times New Roman" w:hAnsi="Times New Roman" w:cs="Times New Roman"/>
        </w:rPr>
        <w:t>Sebeok</w:t>
      </w:r>
      <w:proofErr w:type="spellEnd"/>
      <w:r w:rsidRPr="00341A48">
        <w:rPr>
          <w:rFonts w:ascii="Times New Roman" w:hAnsi="Times New Roman" w:cs="Times New Roman"/>
        </w:rPr>
        <w:t xml:space="preserve"> notes that it was Otto Jespersen who first used the term ‘shifter’, in 1923, to refer to grammatical terms which depend upon the sentence for their meaning. See Thomas </w:t>
      </w:r>
      <w:proofErr w:type="spellStart"/>
      <w:r w:rsidRPr="00341A48">
        <w:rPr>
          <w:rFonts w:ascii="Times New Roman" w:hAnsi="Times New Roman" w:cs="Times New Roman"/>
        </w:rPr>
        <w:t>Sebeok</w:t>
      </w:r>
      <w:proofErr w:type="spellEnd"/>
      <w:r w:rsidRPr="00341A48">
        <w:rPr>
          <w:rFonts w:ascii="Times New Roman" w:hAnsi="Times New Roman" w:cs="Times New Roman"/>
        </w:rPr>
        <w:t xml:space="preserve">, “Indexicality,” </w:t>
      </w:r>
      <w:r w:rsidRPr="00341A48">
        <w:rPr>
          <w:rFonts w:ascii="Times New Roman" w:hAnsi="Times New Roman" w:cs="Times New Roman"/>
          <w:i/>
          <w:iCs/>
        </w:rPr>
        <w:t>Peirce and Contemporary Thought</w:t>
      </w:r>
      <w:r w:rsidRPr="00341A48">
        <w:rPr>
          <w:rFonts w:ascii="Times New Roman" w:hAnsi="Times New Roman" w:cs="Times New Roman"/>
        </w:rPr>
        <w:t>, ed. Kenneth Laine Ketner, New York: Fordham University Press, 1995, 24</w:t>
      </w:r>
      <w:r>
        <w:rPr>
          <w:rFonts w:ascii="Times New Roman" w:hAnsi="Times New Roman" w:cs="Times New Roman"/>
        </w:rPr>
        <w:t xml:space="preserve">0. For another linguistical approach to the primary indexicality of the pronoun in language, see the key texts by Emile Benveniste, </w:t>
      </w:r>
      <w:r>
        <w:rPr>
          <w:rFonts w:ascii="Times New Roman" w:hAnsi="Times New Roman" w:cs="Times New Roman"/>
          <w:i/>
          <w:iCs/>
        </w:rPr>
        <w:t>Problems in general linguistics, 2 vols</w:t>
      </w:r>
      <w:r>
        <w:rPr>
          <w:rFonts w:ascii="Times New Roman" w:hAnsi="Times New Roman" w:cs="Times New Roman"/>
        </w:rPr>
        <w:t xml:space="preserve">, Coral Gables, FL: University of Miami Press, 1971; and Emile Benveniste, </w:t>
      </w:r>
      <w:r>
        <w:rPr>
          <w:rFonts w:ascii="Times New Roman" w:hAnsi="Times New Roman" w:cs="Times New Roman"/>
          <w:i/>
          <w:iCs/>
        </w:rPr>
        <w:t xml:space="preserve">La nature des </w:t>
      </w:r>
      <w:proofErr w:type="spellStart"/>
      <w:r>
        <w:rPr>
          <w:rFonts w:ascii="Times New Roman" w:hAnsi="Times New Roman" w:cs="Times New Roman"/>
          <w:i/>
          <w:iCs/>
        </w:rPr>
        <w:t>pronoms</w:t>
      </w:r>
      <w:proofErr w:type="spellEnd"/>
      <w:r>
        <w:rPr>
          <w:rFonts w:ascii="Times New Roman" w:hAnsi="Times New Roman" w:cs="Times New Roman"/>
        </w:rPr>
        <w:t xml:space="preserve">. In M. Halle, ed., </w:t>
      </w:r>
      <w:r>
        <w:rPr>
          <w:rFonts w:ascii="Times New Roman" w:hAnsi="Times New Roman" w:cs="Times New Roman"/>
          <w:i/>
          <w:iCs/>
        </w:rPr>
        <w:t xml:space="preserve">For Roman Jakobson. Essays </w:t>
      </w:r>
      <w:proofErr w:type="gramStart"/>
      <w:r>
        <w:rPr>
          <w:rFonts w:ascii="Times New Roman" w:hAnsi="Times New Roman" w:cs="Times New Roman"/>
          <w:i/>
          <w:iCs/>
        </w:rPr>
        <w:t>on the Occasion of</w:t>
      </w:r>
      <w:proofErr w:type="gramEnd"/>
      <w:r>
        <w:rPr>
          <w:rFonts w:ascii="Times New Roman" w:hAnsi="Times New Roman" w:cs="Times New Roman"/>
          <w:i/>
          <w:iCs/>
        </w:rPr>
        <w:t xml:space="preserve"> His Sixtieth Birthday, 11 October 1956</w:t>
      </w:r>
      <w:r>
        <w:rPr>
          <w:rFonts w:ascii="Times New Roman" w:hAnsi="Times New Roman" w:cs="Times New Roman"/>
        </w:rPr>
        <w:t xml:space="preserve">, The Hague: Mouton. For a comparison between Benveniste’s indexical pronoun and Jakobson’s Shifter, see Julia </w:t>
      </w:r>
      <w:proofErr w:type="spellStart"/>
      <w:r>
        <w:rPr>
          <w:rFonts w:ascii="Times New Roman" w:hAnsi="Times New Roman" w:cs="Times New Roman"/>
        </w:rPr>
        <w:t>Kursell</w:t>
      </w:r>
      <w:proofErr w:type="spellEnd"/>
      <w:r>
        <w:rPr>
          <w:rFonts w:ascii="Times New Roman" w:hAnsi="Times New Roman" w:cs="Times New Roman"/>
        </w:rPr>
        <w:t xml:space="preserve">, ‘First person plural: Roman Jakobson’s grammatical fictions,’ </w:t>
      </w:r>
      <w:r>
        <w:rPr>
          <w:rFonts w:ascii="Times New Roman" w:hAnsi="Times New Roman" w:cs="Times New Roman"/>
          <w:i/>
          <w:iCs/>
        </w:rPr>
        <w:t>Studies in Eastern European Thought</w:t>
      </w:r>
      <w:r>
        <w:rPr>
          <w:rFonts w:ascii="Times New Roman" w:hAnsi="Times New Roman" w:cs="Times New Roman"/>
        </w:rPr>
        <w:t xml:space="preserve"> (2010) 62: 217-236. </w:t>
      </w:r>
    </w:p>
  </w:endnote>
  <w:endnote w:id="11">
    <w:p w14:paraId="5E5C54BB" w14:textId="4BA35FC7" w:rsidR="004B3E64" w:rsidRPr="004B3E64" w:rsidRDefault="004B3E64">
      <w:pPr>
        <w:pStyle w:val="EndnoteText"/>
        <w:rPr>
          <w:rFonts w:ascii="Times New Roman" w:hAnsi="Times New Roman" w:cs="Times New Roman"/>
          <w:iCs/>
        </w:rPr>
      </w:pPr>
      <w:r w:rsidRPr="004B3E64">
        <w:rPr>
          <w:rStyle w:val="EndnoteReference"/>
          <w:rFonts w:ascii="Times New Roman" w:hAnsi="Times New Roman" w:cs="Times New Roman"/>
        </w:rPr>
        <w:endnoteRef/>
      </w:r>
      <w:r w:rsidRPr="004B3E64">
        <w:rPr>
          <w:rFonts w:ascii="Times New Roman" w:hAnsi="Times New Roman" w:cs="Times New Roman"/>
        </w:rPr>
        <w:t xml:space="preserve"> </w:t>
      </w:r>
      <w:r w:rsidR="00072839" w:rsidRPr="00142B53">
        <w:rPr>
          <w:rFonts w:ascii="Times New Roman" w:hAnsi="Times New Roman" w:cs="Times New Roman"/>
        </w:rPr>
        <w:t xml:space="preserve">See Roland Barthes’ meditation on the indexical ‘authenticity’ of the photograph in Roland Barthes, </w:t>
      </w:r>
      <w:r w:rsidR="00072839" w:rsidRPr="00142B53">
        <w:rPr>
          <w:rFonts w:ascii="Times New Roman" w:hAnsi="Times New Roman" w:cs="Times New Roman"/>
          <w:i/>
        </w:rPr>
        <w:t>Camera Lucida: Reflections on Photography</w:t>
      </w:r>
      <w:r w:rsidR="00072839" w:rsidRPr="00142B53">
        <w:rPr>
          <w:rFonts w:ascii="Times New Roman" w:hAnsi="Times New Roman" w:cs="Times New Roman"/>
          <w:iCs/>
        </w:rPr>
        <w:t>, trans. Richard Howard, Hill and Want: The Noonday Press, 1981, where he writes, ‘From a phenomenological viewpoint, in the Photograph, the power of authentication exceeds the power of representation.’ (89)</w:t>
      </w:r>
    </w:p>
  </w:endnote>
  <w:endnote w:id="12">
    <w:p w14:paraId="489A03FB" w14:textId="77777777" w:rsidR="007C2730" w:rsidRDefault="007C2730" w:rsidP="007C2730">
      <w:pPr>
        <w:pStyle w:val="EndnoteText"/>
      </w:pPr>
      <w:r>
        <w:rPr>
          <w:rStyle w:val="EndnoteReference"/>
        </w:rPr>
        <w:endnoteRef/>
      </w:r>
      <w:r>
        <w:t xml:space="preserve"> </w:t>
      </w:r>
      <w:r w:rsidRPr="00341A48">
        <w:rPr>
          <w:rFonts w:ascii="Times New Roman" w:hAnsi="Times New Roman" w:cs="Times New Roman"/>
        </w:rPr>
        <w:t xml:space="preserve">Georges Didi-Huberman, “The Index of the Absent Wound (Monograph on a Stain),” </w:t>
      </w:r>
      <w:r w:rsidRPr="00341A48">
        <w:rPr>
          <w:rFonts w:ascii="Times New Roman" w:hAnsi="Times New Roman" w:cs="Times New Roman"/>
          <w:i/>
          <w:iCs/>
        </w:rPr>
        <w:t>October</w:t>
      </w:r>
      <w:r w:rsidRPr="00341A48">
        <w:rPr>
          <w:rFonts w:ascii="Times New Roman" w:hAnsi="Times New Roman" w:cs="Times New Roman"/>
        </w:rPr>
        <w:t xml:space="preserve"> 29 (Summer 1984): 63-82.</w:t>
      </w:r>
    </w:p>
    <w:p w14:paraId="39633D56" w14:textId="5797A014" w:rsidR="007C2730" w:rsidRDefault="007C2730">
      <w:pPr>
        <w:pStyle w:val="EndnoteText"/>
      </w:pPr>
    </w:p>
    <w:p w14:paraId="0D52BC2F" w14:textId="77777777" w:rsidR="004C64E8" w:rsidRDefault="004C64E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emposText">
    <w:altName w:val="Cambria"/>
    <w:panose1 w:val="00000000000000000000"/>
    <w:charset w:val="00"/>
    <w:family w:val="roman"/>
    <w:notTrueType/>
    <w:pitch w:val="default"/>
  </w:font>
  <w:font w:name="WalbaumCustomOS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444F" w14:textId="3830C958" w:rsidR="00941B6B" w:rsidRDefault="00B40B15">
    <w:pPr>
      <w:pStyle w:val="Footer"/>
      <w:framePr w:wrap="none" w:vAnchor="text" w:hAnchor="margin" w:xAlign="right" w:y="1"/>
      <w:rPr>
        <w:rStyle w:val="PageNumber"/>
      </w:rPr>
    </w:pPr>
    <w:r>
      <w:rPr>
        <w:noProof/>
      </w:rPr>
      <mc:AlternateContent>
        <mc:Choice Requires="wps">
          <w:drawing>
            <wp:anchor distT="0" distB="0" distL="0" distR="0" simplePos="0" relativeHeight="251662336" behindDoc="0" locked="0" layoutInCell="1" allowOverlap="1" wp14:anchorId="42A90DAF" wp14:editId="13350D8A">
              <wp:simplePos x="635" y="635"/>
              <wp:positionH relativeFrom="page">
                <wp:align>center</wp:align>
              </wp:positionH>
              <wp:positionV relativeFrom="page">
                <wp:align>bottom</wp:align>
              </wp:positionV>
              <wp:extent cx="443865" cy="443865"/>
              <wp:effectExtent l="0" t="0" r="1270" b="0"/>
              <wp:wrapNone/>
              <wp:docPr id="11" name="Text Box 11"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308A99" w14:textId="57421028" w:rsidR="00B40B15" w:rsidRPr="00B40B15" w:rsidRDefault="00B40B15" w:rsidP="00B40B15">
                          <w:pPr>
                            <w:rPr>
                              <w:rFonts w:ascii="Calibri" w:eastAsia="Calibri" w:hAnsi="Calibri" w:cs="Calibri"/>
                              <w:noProof/>
                              <w:color w:val="FF8C00"/>
                              <w:sz w:val="22"/>
                              <w:szCs w:val="22"/>
                            </w:rPr>
                          </w:pPr>
                          <w:r w:rsidRPr="00B40B15">
                            <w:rPr>
                              <w:rFonts w:ascii="Calibri" w:eastAsia="Calibri" w:hAnsi="Calibri" w:cs="Calibri"/>
                              <w:noProof/>
                              <w:color w:val="FF8C00"/>
                              <w:sz w:val="22"/>
                              <w:szCs w:val="22"/>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A90DAF" id="_x0000_t202" coordsize="21600,21600" o:spt="202" path="m,l,21600r21600,l21600,xe">
              <v:stroke joinstyle="miter"/>
              <v:path gradientshapeok="t" o:connecttype="rect"/>
            </v:shapetype>
            <v:shape id="Text Box 11" o:spid="_x0000_s1027" type="#_x0000_t202" alt="RESTRICTED"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E308A99" w14:textId="57421028" w:rsidR="00B40B15" w:rsidRPr="00B40B15" w:rsidRDefault="00B40B15" w:rsidP="00B40B15">
                    <w:pPr>
                      <w:rPr>
                        <w:rFonts w:ascii="Calibri" w:eastAsia="Calibri" w:hAnsi="Calibri" w:cs="Calibri"/>
                        <w:noProof/>
                        <w:color w:val="FF8C00"/>
                        <w:sz w:val="22"/>
                        <w:szCs w:val="22"/>
                      </w:rPr>
                    </w:pPr>
                    <w:r w:rsidRPr="00B40B15">
                      <w:rPr>
                        <w:rFonts w:ascii="Calibri" w:eastAsia="Calibri" w:hAnsi="Calibri" w:cs="Calibri"/>
                        <w:noProof/>
                        <w:color w:val="FF8C00"/>
                        <w:sz w:val="22"/>
                        <w:szCs w:val="22"/>
                      </w:rPr>
                      <w:t>RESTRICTED</w:t>
                    </w:r>
                  </w:p>
                </w:txbxContent>
              </v:textbox>
              <w10:wrap anchorx="page" anchory="page"/>
            </v:shape>
          </w:pict>
        </mc:Fallback>
      </mc:AlternateContent>
    </w:r>
  </w:p>
  <w:sdt>
    <w:sdtPr>
      <w:rPr>
        <w:rStyle w:val="PageNumber"/>
      </w:rPr>
      <w:id w:val="983513383"/>
      <w:docPartObj>
        <w:docPartGallery w:val="Page Numbers (Bottom of Page)"/>
        <w:docPartUnique/>
      </w:docPartObj>
    </w:sdtPr>
    <w:sdtContent>
      <w:p w14:paraId="20F8D1CA" w14:textId="77777777" w:rsidR="00941B6B" w:rsidRDefault="00941B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0BD934" w14:textId="77777777" w:rsidR="00941B6B" w:rsidRDefault="00941B6B" w:rsidP="00941B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E5D0" w14:textId="45918A60" w:rsidR="00941B6B" w:rsidRDefault="00B40B15">
    <w:pPr>
      <w:pStyle w:val="Footer"/>
      <w:framePr w:wrap="none" w:vAnchor="text" w:hAnchor="margin" w:xAlign="right" w:y="1"/>
      <w:rPr>
        <w:rStyle w:val="PageNumber"/>
      </w:rPr>
    </w:pPr>
    <w:r>
      <w:rPr>
        <w:noProof/>
      </w:rPr>
      <mc:AlternateContent>
        <mc:Choice Requires="wps">
          <w:drawing>
            <wp:anchor distT="0" distB="0" distL="0" distR="0" simplePos="0" relativeHeight="251663360" behindDoc="0" locked="0" layoutInCell="1" allowOverlap="1" wp14:anchorId="43D3A32E" wp14:editId="57CD143A">
              <wp:simplePos x="6567055" y="10053510"/>
              <wp:positionH relativeFrom="page">
                <wp:align>center</wp:align>
              </wp:positionH>
              <wp:positionV relativeFrom="page">
                <wp:align>bottom</wp:align>
              </wp:positionV>
              <wp:extent cx="443865" cy="443865"/>
              <wp:effectExtent l="0" t="0" r="1270" b="0"/>
              <wp:wrapNone/>
              <wp:docPr id="12" name="Text Box 12"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DB9108" w14:textId="4557A690" w:rsidR="00B40B15" w:rsidRPr="00B40B15" w:rsidRDefault="00B40B15" w:rsidP="00B40B15">
                          <w:pPr>
                            <w:rPr>
                              <w:rFonts w:ascii="Calibri" w:eastAsia="Calibri" w:hAnsi="Calibri" w:cs="Calibri"/>
                              <w:noProof/>
                              <w:color w:val="FF8C00"/>
                              <w:sz w:val="22"/>
                              <w:szCs w:val="22"/>
                            </w:rPr>
                          </w:pPr>
                          <w:r w:rsidRPr="00B40B15">
                            <w:rPr>
                              <w:rFonts w:ascii="Calibri" w:eastAsia="Calibri" w:hAnsi="Calibri" w:cs="Calibri"/>
                              <w:noProof/>
                              <w:color w:val="FF8C00"/>
                              <w:sz w:val="22"/>
                              <w:szCs w:val="22"/>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D3A32E" id="_x0000_t202" coordsize="21600,21600" o:spt="202" path="m,l,21600r21600,l21600,xe">
              <v:stroke joinstyle="miter"/>
              <v:path gradientshapeok="t" o:connecttype="rect"/>
            </v:shapetype>
            <v:shape id="Text Box 12" o:spid="_x0000_s1028" type="#_x0000_t202" alt="RESTRICTED"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FDB9108" w14:textId="4557A690" w:rsidR="00B40B15" w:rsidRPr="00B40B15" w:rsidRDefault="00B40B15" w:rsidP="00B40B15">
                    <w:pPr>
                      <w:rPr>
                        <w:rFonts w:ascii="Calibri" w:eastAsia="Calibri" w:hAnsi="Calibri" w:cs="Calibri"/>
                        <w:noProof/>
                        <w:color w:val="FF8C00"/>
                        <w:sz w:val="22"/>
                        <w:szCs w:val="22"/>
                      </w:rPr>
                    </w:pPr>
                    <w:r w:rsidRPr="00B40B15">
                      <w:rPr>
                        <w:rFonts w:ascii="Calibri" w:eastAsia="Calibri" w:hAnsi="Calibri" w:cs="Calibri"/>
                        <w:noProof/>
                        <w:color w:val="FF8C00"/>
                        <w:sz w:val="22"/>
                        <w:szCs w:val="22"/>
                      </w:rPr>
                      <w:t>RESTRICTED</w:t>
                    </w:r>
                  </w:p>
                </w:txbxContent>
              </v:textbox>
              <w10:wrap anchorx="page" anchory="page"/>
            </v:shape>
          </w:pict>
        </mc:Fallback>
      </mc:AlternateContent>
    </w:r>
  </w:p>
  <w:p w14:paraId="74F8F3DA" w14:textId="77777777" w:rsidR="00941B6B" w:rsidRDefault="00941B6B" w:rsidP="00941B6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366E" w14:textId="6DFD73EA" w:rsidR="00B40B15" w:rsidRDefault="00B40B15">
    <w:pPr>
      <w:pStyle w:val="Footer"/>
    </w:pPr>
    <w:r>
      <w:rPr>
        <w:noProof/>
      </w:rPr>
      <mc:AlternateContent>
        <mc:Choice Requires="wps">
          <w:drawing>
            <wp:anchor distT="0" distB="0" distL="0" distR="0" simplePos="0" relativeHeight="251661312" behindDoc="0" locked="0" layoutInCell="1" allowOverlap="1" wp14:anchorId="2F54CD1F" wp14:editId="43E7928D">
              <wp:simplePos x="635" y="635"/>
              <wp:positionH relativeFrom="page">
                <wp:align>center</wp:align>
              </wp:positionH>
              <wp:positionV relativeFrom="page">
                <wp:align>bottom</wp:align>
              </wp:positionV>
              <wp:extent cx="443865" cy="443865"/>
              <wp:effectExtent l="0" t="0" r="1270" b="0"/>
              <wp:wrapNone/>
              <wp:docPr id="10" name="Text Box 10"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69B089" w14:textId="47A65A60" w:rsidR="00B40B15" w:rsidRPr="00B40B15" w:rsidRDefault="00B40B15" w:rsidP="00B40B15">
                          <w:pPr>
                            <w:rPr>
                              <w:rFonts w:ascii="Calibri" w:eastAsia="Calibri" w:hAnsi="Calibri" w:cs="Calibri"/>
                              <w:noProof/>
                              <w:color w:val="FF8C00"/>
                              <w:sz w:val="22"/>
                              <w:szCs w:val="22"/>
                            </w:rPr>
                          </w:pPr>
                          <w:r w:rsidRPr="00B40B15">
                            <w:rPr>
                              <w:rFonts w:ascii="Calibri" w:eastAsia="Calibri" w:hAnsi="Calibri" w:cs="Calibri"/>
                              <w:noProof/>
                              <w:color w:val="FF8C00"/>
                              <w:sz w:val="22"/>
                              <w:szCs w:val="22"/>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54CD1F" id="_x0000_t202" coordsize="21600,21600" o:spt="202" path="m,l,21600r21600,l21600,xe">
              <v:stroke joinstyle="miter"/>
              <v:path gradientshapeok="t" o:connecttype="rect"/>
            </v:shapetype>
            <v:shape id="Text Box 10" o:spid="_x0000_s1030" type="#_x0000_t202" alt="RESTRICTED"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4E69B089" w14:textId="47A65A60" w:rsidR="00B40B15" w:rsidRPr="00B40B15" w:rsidRDefault="00B40B15" w:rsidP="00B40B15">
                    <w:pPr>
                      <w:rPr>
                        <w:rFonts w:ascii="Calibri" w:eastAsia="Calibri" w:hAnsi="Calibri" w:cs="Calibri"/>
                        <w:noProof/>
                        <w:color w:val="FF8C00"/>
                        <w:sz w:val="22"/>
                        <w:szCs w:val="22"/>
                      </w:rPr>
                    </w:pPr>
                    <w:r w:rsidRPr="00B40B15">
                      <w:rPr>
                        <w:rFonts w:ascii="Calibri" w:eastAsia="Calibri" w:hAnsi="Calibri" w:cs="Calibri"/>
                        <w:noProof/>
                        <w:color w:val="FF8C00"/>
                        <w:sz w:val="22"/>
                        <w:szCs w:val="22"/>
                      </w:rPr>
                      <w:t>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29690" w14:textId="77777777" w:rsidR="00B245AB" w:rsidRDefault="00B245AB" w:rsidP="00EE5505">
      <w:r>
        <w:separator/>
      </w:r>
    </w:p>
  </w:footnote>
  <w:footnote w:type="continuationSeparator" w:id="0">
    <w:p w14:paraId="29C299BE" w14:textId="77777777" w:rsidR="00B245AB" w:rsidRDefault="00B245AB" w:rsidP="00EE5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DE30" w14:textId="1D250AB3" w:rsidR="00B40B15" w:rsidRDefault="00B40B15">
    <w:pPr>
      <w:pStyle w:val="Header"/>
    </w:pPr>
    <w:r>
      <w:rPr>
        <w:noProof/>
      </w:rPr>
      <mc:AlternateContent>
        <mc:Choice Requires="wps">
          <w:drawing>
            <wp:anchor distT="0" distB="0" distL="0" distR="0" simplePos="0" relativeHeight="251659264" behindDoc="0" locked="0" layoutInCell="1" allowOverlap="1" wp14:anchorId="31182A61" wp14:editId="68C7B70C">
              <wp:simplePos x="635" y="635"/>
              <wp:positionH relativeFrom="page">
                <wp:align>center</wp:align>
              </wp:positionH>
              <wp:positionV relativeFrom="page">
                <wp:align>top</wp:align>
              </wp:positionV>
              <wp:extent cx="443865" cy="443865"/>
              <wp:effectExtent l="0" t="0" r="1270" b="635"/>
              <wp:wrapNone/>
              <wp:docPr id="8" name="Text Box 8"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11A330" w14:textId="7BAE4F3C" w:rsidR="00B40B15" w:rsidRPr="00B40B15" w:rsidRDefault="00B40B15" w:rsidP="00B40B15">
                          <w:pPr>
                            <w:rPr>
                              <w:rFonts w:ascii="Calibri" w:eastAsia="Calibri" w:hAnsi="Calibri" w:cs="Calibri"/>
                              <w:noProof/>
                              <w:color w:val="FF8C00"/>
                              <w:sz w:val="22"/>
                              <w:szCs w:val="22"/>
                            </w:rPr>
                          </w:pPr>
                          <w:r w:rsidRPr="00B40B15">
                            <w:rPr>
                              <w:rFonts w:ascii="Calibri" w:eastAsia="Calibri" w:hAnsi="Calibri" w:cs="Calibri"/>
                              <w:noProof/>
                              <w:color w:val="FF8C00"/>
                              <w:sz w:val="22"/>
                              <w:szCs w:val="22"/>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182A61" id="_x0000_t202" coordsize="21600,21600" o:spt="202" path="m,l,21600r21600,l21600,xe">
              <v:stroke joinstyle="miter"/>
              <v:path gradientshapeok="t" o:connecttype="rect"/>
            </v:shapetype>
            <v:shape id="Text Box 8" o:spid="_x0000_s1026" type="#_x0000_t202" alt="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C11A330" w14:textId="7BAE4F3C" w:rsidR="00B40B15" w:rsidRPr="00B40B15" w:rsidRDefault="00B40B15" w:rsidP="00B40B15">
                    <w:pPr>
                      <w:rPr>
                        <w:rFonts w:ascii="Calibri" w:eastAsia="Calibri" w:hAnsi="Calibri" w:cs="Calibri"/>
                        <w:noProof/>
                        <w:color w:val="FF8C00"/>
                        <w:sz w:val="22"/>
                        <w:szCs w:val="22"/>
                      </w:rPr>
                    </w:pPr>
                    <w:r w:rsidRPr="00B40B15">
                      <w:rPr>
                        <w:rFonts w:ascii="Calibri" w:eastAsia="Calibri" w:hAnsi="Calibri" w:cs="Calibri"/>
                        <w:noProof/>
                        <w:color w:val="FF8C00"/>
                        <w:sz w:val="22"/>
                        <w:szCs w:val="22"/>
                      </w:rPr>
                      <w:t>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C6CF" w14:textId="1B707A56" w:rsidR="00B40B15" w:rsidRDefault="00B40B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B2C3" w14:textId="3C891B67" w:rsidR="00B40B15" w:rsidRDefault="00B40B15">
    <w:pPr>
      <w:pStyle w:val="Header"/>
    </w:pPr>
    <w:r>
      <w:rPr>
        <w:noProof/>
      </w:rPr>
      <mc:AlternateContent>
        <mc:Choice Requires="wps">
          <w:drawing>
            <wp:anchor distT="0" distB="0" distL="0" distR="0" simplePos="0" relativeHeight="251658240" behindDoc="0" locked="0" layoutInCell="1" allowOverlap="1" wp14:anchorId="72ED175B" wp14:editId="00DCFBBB">
              <wp:simplePos x="635" y="635"/>
              <wp:positionH relativeFrom="page">
                <wp:align>center</wp:align>
              </wp:positionH>
              <wp:positionV relativeFrom="page">
                <wp:align>top</wp:align>
              </wp:positionV>
              <wp:extent cx="443865" cy="443865"/>
              <wp:effectExtent l="0" t="0" r="1270" b="635"/>
              <wp:wrapNone/>
              <wp:docPr id="1" name="Text Box 1"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9A4233" w14:textId="3EEA65EF" w:rsidR="00B40B15" w:rsidRPr="00B40B15" w:rsidRDefault="00B40B15" w:rsidP="00B40B15">
                          <w:pPr>
                            <w:rPr>
                              <w:rFonts w:ascii="Calibri" w:eastAsia="Calibri" w:hAnsi="Calibri" w:cs="Calibri"/>
                              <w:noProof/>
                              <w:color w:val="FF8C00"/>
                              <w:sz w:val="22"/>
                              <w:szCs w:val="22"/>
                            </w:rPr>
                          </w:pPr>
                          <w:r w:rsidRPr="00B40B15">
                            <w:rPr>
                              <w:rFonts w:ascii="Calibri" w:eastAsia="Calibri" w:hAnsi="Calibri" w:cs="Calibri"/>
                              <w:noProof/>
                              <w:color w:val="FF8C00"/>
                              <w:sz w:val="22"/>
                              <w:szCs w:val="22"/>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D175B" id="_x0000_t202" coordsize="21600,21600" o:spt="202" path="m,l,21600r21600,l21600,xe">
              <v:stroke joinstyle="miter"/>
              <v:path gradientshapeok="t" o:connecttype="rect"/>
            </v:shapetype>
            <v:shape id="Text Box 1" o:spid="_x0000_s1029" type="#_x0000_t202" alt="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3E9A4233" w14:textId="3EEA65EF" w:rsidR="00B40B15" w:rsidRPr="00B40B15" w:rsidRDefault="00B40B15" w:rsidP="00B40B15">
                    <w:pPr>
                      <w:rPr>
                        <w:rFonts w:ascii="Calibri" w:eastAsia="Calibri" w:hAnsi="Calibri" w:cs="Calibri"/>
                        <w:noProof/>
                        <w:color w:val="FF8C00"/>
                        <w:sz w:val="22"/>
                        <w:szCs w:val="22"/>
                      </w:rPr>
                    </w:pPr>
                    <w:r w:rsidRPr="00B40B15">
                      <w:rPr>
                        <w:rFonts w:ascii="Calibri" w:eastAsia="Calibri" w:hAnsi="Calibri" w:cs="Calibri"/>
                        <w:noProof/>
                        <w:color w:val="FF8C00"/>
                        <w:sz w:val="22"/>
                        <w:szCs w:val="22"/>
                      </w:rPr>
                      <w:t>RESTRICTED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6014E9"/>
    <w:multiLevelType w:val="hybridMultilevel"/>
    <w:tmpl w:val="A094CA1C"/>
    <w:lvl w:ilvl="0" w:tplc="249CF054">
      <w:start w:val="1"/>
      <w:numFmt w:val="bullet"/>
      <w:lvlText w:val="•"/>
      <w:lvlJc w:val="left"/>
      <w:pPr>
        <w:tabs>
          <w:tab w:val="num" w:pos="720"/>
        </w:tabs>
        <w:ind w:left="720" w:hanging="360"/>
      </w:pPr>
      <w:rPr>
        <w:rFonts w:ascii="Arial" w:hAnsi="Arial" w:hint="default"/>
      </w:rPr>
    </w:lvl>
    <w:lvl w:ilvl="1" w:tplc="820C6892" w:tentative="1">
      <w:start w:val="1"/>
      <w:numFmt w:val="bullet"/>
      <w:lvlText w:val="•"/>
      <w:lvlJc w:val="left"/>
      <w:pPr>
        <w:tabs>
          <w:tab w:val="num" w:pos="1440"/>
        </w:tabs>
        <w:ind w:left="1440" w:hanging="360"/>
      </w:pPr>
      <w:rPr>
        <w:rFonts w:ascii="Arial" w:hAnsi="Arial" w:hint="default"/>
      </w:rPr>
    </w:lvl>
    <w:lvl w:ilvl="2" w:tplc="035C5614" w:tentative="1">
      <w:start w:val="1"/>
      <w:numFmt w:val="bullet"/>
      <w:lvlText w:val="•"/>
      <w:lvlJc w:val="left"/>
      <w:pPr>
        <w:tabs>
          <w:tab w:val="num" w:pos="2160"/>
        </w:tabs>
        <w:ind w:left="2160" w:hanging="360"/>
      </w:pPr>
      <w:rPr>
        <w:rFonts w:ascii="Arial" w:hAnsi="Arial" w:hint="default"/>
      </w:rPr>
    </w:lvl>
    <w:lvl w:ilvl="3" w:tplc="C74671DC" w:tentative="1">
      <w:start w:val="1"/>
      <w:numFmt w:val="bullet"/>
      <w:lvlText w:val="•"/>
      <w:lvlJc w:val="left"/>
      <w:pPr>
        <w:tabs>
          <w:tab w:val="num" w:pos="2880"/>
        </w:tabs>
        <w:ind w:left="2880" w:hanging="360"/>
      </w:pPr>
      <w:rPr>
        <w:rFonts w:ascii="Arial" w:hAnsi="Arial" w:hint="default"/>
      </w:rPr>
    </w:lvl>
    <w:lvl w:ilvl="4" w:tplc="9E42E89C" w:tentative="1">
      <w:start w:val="1"/>
      <w:numFmt w:val="bullet"/>
      <w:lvlText w:val="•"/>
      <w:lvlJc w:val="left"/>
      <w:pPr>
        <w:tabs>
          <w:tab w:val="num" w:pos="3600"/>
        </w:tabs>
        <w:ind w:left="3600" w:hanging="360"/>
      </w:pPr>
      <w:rPr>
        <w:rFonts w:ascii="Arial" w:hAnsi="Arial" w:hint="default"/>
      </w:rPr>
    </w:lvl>
    <w:lvl w:ilvl="5" w:tplc="2542DE4C" w:tentative="1">
      <w:start w:val="1"/>
      <w:numFmt w:val="bullet"/>
      <w:lvlText w:val="•"/>
      <w:lvlJc w:val="left"/>
      <w:pPr>
        <w:tabs>
          <w:tab w:val="num" w:pos="4320"/>
        </w:tabs>
        <w:ind w:left="4320" w:hanging="360"/>
      </w:pPr>
      <w:rPr>
        <w:rFonts w:ascii="Arial" w:hAnsi="Arial" w:hint="default"/>
      </w:rPr>
    </w:lvl>
    <w:lvl w:ilvl="6" w:tplc="CAA84666" w:tentative="1">
      <w:start w:val="1"/>
      <w:numFmt w:val="bullet"/>
      <w:lvlText w:val="•"/>
      <w:lvlJc w:val="left"/>
      <w:pPr>
        <w:tabs>
          <w:tab w:val="num" w:pos="5040"/>
        </w:tabs>
        <w:ind w:left="5040" w:hanging="360"/>
      </w:pPr>
      <w:rPr>
        <w:rFonts w:ascii="Arial" w:hAnsi="Arial" w:hint="default"/>
      </w:rPr>
    </w:lvl>
    <w:lvl w:ilvl="7" w:tplc="3A2ABE78" w:tentative="1">
      <w:start w:val="1"/>
      <w:numFmt w:val="bullet"/>
      <w:lvlText w:val="•"/>
      <w:lvlJc w:val="left"/>
      <w:pPr>
        <w:tabs>
          <w:tab w:val="num" w:pos="5760"/>
        </w:tabs>
        <w:ind w:left="5760" w:hanging="360"/>
      </w:pPr>
      <w:rPr>
        <w:rFonts w:ascii="Arial" w:hAnsi="Arial" w:hint="default"/>
      </w:rPr>
    </w:lvl>
    <w:lvl w:ilvl="8" w:tplc="8E8C2F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EDA6BC2"/>
    <w:multiLevelType w:val="hybridMultilevel"/>
    <w:tmpl w:val="87927F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11016924">
    <w:abstractNumId w:val="0"/>
  </w:num>
  <w:num w:numId="2" w16cid:durableId="1250310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88F"/>
    <w:rsid w:val="00003FF7"/>
    <w:rsid w:val="00005126"/>
    <w:rsid w:val="0000610E"/>
    <w:rsid w:val="0000683F"/>
    <w:rsid w:val="00006AE1"/>
    <w:rsid w:val="000108D9"/>
    <w:rsid w:val="0001371B"/>
    <w:rsid w:val="00013C91"/>
    <w:rsid w:val="000141AC"/>
    <w:rsid w:val="000143F6"/>
    <w:rsid w:val="00014AE4"/>
    <w:rsid w:val="00015A76"/>
    <w:rsid w:val="00017CF9"/>
    <w:rsid w:val="00022BBC"/>
    <w:rsid w:val="00024EAA"/>
    <w:rsid w:val="000257B6"/>
    <w:rsid w:val="0002724B"/>
    <w:rsid w:val="00030BF5"/>
    <w:rsid w:val="00031853"/>
    <w:rsid w:val="00032021"/>
    <w:rsid w:val="0003314B"/>
    <w:rsid w:val="000338E8"/>
    <w:rsid w:val="00036009"/>
    <w:rsid w:val="000365D8"/>
    <w:rsid w:val="00041983"/>
    <w:rsid w:val="00043A0C"/>
    <w:rsid w:val="00050BE4"/>
    <w:rsid w:val="00050FDA"/>
    <w:rsid w:val="000518C7"/>
    <w:rsid w:val="00051AC0"/>
    <w:rsid w:val="000559F9"/>
    <w:rsid w:val="00055F91"/>
    <w:rsid w:val="000577FA"/>
    <w:rsid w:val="000600AF"/>
    <w:rsid w:val="000609F8"/>
    <w:rsid w:val="00062221"/>
    <w:rsid w:val="000627EF"/>
    <w:rsid w:val="00065636"/>
    <w:rsid w:val="00065C83"/>
    <w:rsid w:val="00065D33"/>
    <w:rsid w:val="00066230"/>
    <w:rsid w:val="0006697A"/>
    <w:rsid w:val="00067A84"/>
    <w:rsid w:val="00067BD6"/>
    <w:rsid w:val="00070AC1"/>
    <w:rsid w:val="000716FD"/>
    <w:rsid w:val="00072839"/>
    <w:rsid w:val="000730A1"/>
    <w:rsid w:val="000735F7"/>
    <w:rsid w:val="00073C66"/>
    <w:rsid w:val="00074937"/>
    <w:rsid w:val="000749D7"/>
    <w:rsid w:val="000759C1"/>
    <w:rsid w:val="000759D9"/>
    <w:rsid w:val="000760F9"/>
    <w:rsid w:val="00077AE8"/>
    <w:rsid w:val="00080C1C"/>
    <w:rsid w:val="00081DFB"/>
    <w:rsid w:val="00084697"/>
    <w:rsid w:val="00085094"/>
    <w:rsid w:val="00085B38"/>
    <w:rsid w:val="0008602D"/>
    <w:rsid w:val="00086F0A"/>
    <w:rsid w:val="00090CB2"/>
    <w:rsid w:val="00092C3E"/>
    <w:rsid w:val="00092DFF"/>
    <w:rsid w:val="000934FD"/>
    <w:rsid w:val="0009624E"/>
    <w:rsid w:val="000966E8"/>
    <w:rsid w:val="000975B5"/>
    <w:rsid w:val="000A0657"/>
    <w:rsid w:val="000A2F6A"/>
    <w:rsid w:val="000A435F"/>
    <w:rsid w:val="000A6624"/>
    <w:rsid w:val="000A724E"/>
    <w:rsid w:val="000B342C"/>
    <w:rsid w:val="000B47AE"/>
    <w:rsid w:val="000B5470"/>
    <w:rsid w:val="000B7B43"/>
    <w:rsid w:val="000C1B00"/>
    <w:rsid w:val="000C4792"/>
    <w:rsid w:val="000C7DB6"/>
    <w:rsid w:val="000D0FAD"/>
    <w:rsid w:val="000D23CF"/>
    <w:rsid w:val="000D3561"/>
    <w:rsid w:val="000D3575"/>
    <w:rsid w:val="000D484C"/>
    <w:rsid w:val="000D72ED"/>
    <w:rsid w:val="000E046A"/>
    <w:rsid w:val="000E0B7B"/>
    <w:rsid w:val="000E0D95"/>
    <w:rsid w:val="000E20C8"/>
    <w:rsid w:val="000E35F7"/>
    <w:rsid w:val="000E363F"/>
    <w:rsid w:val="000E4455"/>
    <w:rsid w:val="000E5104"/>
    <w:rsid w:val="000E7E29"/>
    <w:rsid w:val="000F07E0"/>
    <w:rsid w:val="000F1430"/>
    <w:rsid w:val="000F2271"/>
    <w:rsid w:val="000F26A2"/>
    <w:rsid w:val="000F344E"/>
    <w:rsid w:val="000F45C0"/>
    <w:rsid w:val="000F45D2"/>
    <w:rsid w:val="000F5096"/>
    <w:rsid w:val="000F528B"/>
    <w:rsid w:val="00100C11"/>
    <w:rsid w:val="00100C9A"/>
    <w:rsid w:val="00101794"/>
    <w:rsid w:val="001024A7"/>
    <w:rsid w:val="0010274C"/>
    <w:rsid w:val="00102B11"/>
    <w:rsid w:val="0010507E"/>
    <w:rsid w:val="0010624B"/>
    <w:rsid w:val="00106B65"/>
    <w:rsid w:val="0010731A"/>
    <w:rsid w:val="00107B0D"/>
    <w:rsid w:val="00112635"/>
    <w:rsid w:val="001129A9"/>
    <w:rsid w:val="00112E9F"/>
    <w:rsid w:val="00113BFD"/>
    <w:rsid w:val="00115AB4"/>
    <w:rsid w:val="00117525"/>
    <w:rsid w:val="00120970"/>
    <w:rsid w:val="001211BD"/>
    <w:rsid w:val="00121DA6"/>
    <w:rsid w:val="00121F72"/>
    <w:rsid w:val="0012572B"/>
    <w:rsid w:val="00125984"/>
    <w:rsid w:val="00127062"/>
    <w:rsid w:val="00130425"/>
    <w:rsid w:val="001311FD"/>
    <w:rsid w:val="00132D88"/>
    <w:rsid w:val="001333A6"/>
    <w:rsid w:val="00133B28"/>
    <w:rsid w:val="001344C0"/>
    <w:rsid w:val="00137E4B"/>
    <w:rsid w:val="0014038E"/>
    <w:rsid w:val="00140DF1"/>
    <w:rsid w:val="0014106D"/>
    <w:rsid w:val="001416AA"/>
    <w:rsid w:val="001416D5"/>
    <w:rsid w:val="00142AAF"/>
    <w:rsid w:val="00142B53"/>
    <w:rsid w:val="001435D4"/>
    <w:rsid w:val="001474B7"/>
    <w:rsid w:val="00153108"/>
    <w:rsid w:val="001536BE"/>
    <w:rsid w:val="0015798B"/>
    <w:rsid w:val="001637E7"/>
    <w:rsid w:val="001644ED"/>
    <w:rsid w:val="00164A7A"/>
    <w:rsid w:val="001663B3"/>
    <w:rsid w:val="00166DEE"/>
    <w:rsid w:val="001714DE"/>
    <w:rsid w:val="00171C36"/>
    <w:rsid w:val="00174E81"/>
    <w:rsid w:val="00176E47"/>
    <w:rsid w:val="0018099A"/>
    <w:rsid w:val="001818AC"/>
    <w:rsid w:val="00183CFA"/>
    <w:rsid w:val="00185A2B"/>
    <w:rsid w:val="00186664"/>
    <w:rsid w:val="00187392"/>
    <w:rsid w:val="00187629"/>
    <w:rsid w:val="00187E13"/>
    <w:rsid w:val="00187E5E"/>
    <w:rsid w:val="001902DE"/>
    <w:rsid w:val="00190750"/>
    <w:rsid w:val="0019117D"/>
    <w:rsid w:val="001917A3"/>
    <w:rsid w:val="00191C8F"/>
    <w:rsid w:val="001957C2"/>
    <w:rsid w:val="001A0D5C"/>
    <w:rsid w:val="001A337C"/>
    <w:rsid w:val="001A44AA"/>
    <w:rsid w:val="001A4D13"/>
    <w:rsid w:val="001A5678"/>
    <w:rsid w:val="001B06E7"/>
    <w:rsid w:val="001B0EDB"/>
    <w:rsid w:val="001B1124"/>
    <w:rsid w:val="001B1A83"/>
    <w:rsid w:val="001B2A2A"/>
    <w:rsid w:val="001B57F3"/>
    <w:rsid w:val="001B71A7"/>
    <w:rsid w:val="001C14AA"/>
    <w:rsid w:val="001C3171"/>
    <w:rsid w:val="001C3618"/>
    <w:rsid w:val="001C37BB"/>
    <w:rsid w:val="001C3F10"/>
    <w:rsid w:val="001C5A8B"/>
    <w:rsid w:val="001D006D"/>
    <w:rsid w:val="001D0637"/>
    <w:rsid w:val="001D46E9"/>
    <w:rsid w:val="001D575E"/>
    <w:rsid w:val="001E1120"/>
    <w:rsid w:val="001E1730"/>
    <w:rsid w:val="001E17FE"/>
    <w:rsid w:val="001E19BB"/>
    <w:rsid w:val="001E1A20"/>
    <w:rsid w:val="001E24F4"/>
    <w:rsid w:val="001E2925"/>
    <w:rsid w:val="001E2CA2"/>
    <w:rsid w:val="001E403F"/>
    <w:rsid w:val="001E7733"/>
    <w:rsid w:val="001F0C6D"/>
    <w:rsid w:val="001F2DC3"/>
    <w:rsid w:val="001F3B6B"/>
    <w:rsid w:val="001F4AD1"/>
    <w:rsid w:val="001F60A6"/>
    <w:rsid w:val="001F67E1"/>
    <w:rsid w:val="001F7216"/>
    <w:rsid w:val="001F7626"/>
    <w:rsid w:val="002024B5"/>
    <w:rsid w:val="00202FA1"/>
    <w:rsid w:val="0020599A"/>
    <w:rsid w:val="00205F93"/>
    <w:rsid w:val="00211C69"/>
    <w:rsid w:val="00217558"/>
    <w:rsid w:val="0022023B"/>
    <w:rsid w:val="002206DE"/>
    <w:rsid w:val="00221F7F"/>
    <w:rsid w:val="00222CE3"/>
    <w:rsid w:val="00225089"/>
    <w:rsid w:val="002255E1"/>
    <w:rsid w:val="00226D0C"/>
    <w:rsid w:val="002271A8"/>
    <w:rsid w:val="002271F4"/>
    <w:rsid w:val="00227E53"/>
    <w:rsid w:val="0023029C"/>
    <w:rsid w:val="002327CE"/>
    <w:rsid w:val="00232DC5"/>
    <w:rsid w:val="00233CC9"/>
    <w:rsid w:val="00236B0A"/>
    <w:rsid w:val="00237329"/>
    <w:rsid w:val="00240158"/>
    <w:rsid w:val="002404A6"/>
    <w:rsid w:val="002442DE"/>
    <w:rsid w:val="00244F6C"/>
    <w:rsid w:val="0024527B"/>
    <w:rsid w:val="0024598D"/>
    <w:rsid w:val="002479C2"/>
    <w:rsid w:val="00253EC5"/>
    <w:rsid w:val="00254DD7"/>
    <w:rsid w:val="002551E4"/>
    <w:rsid w:val="002617A0"/>
    <w:rsid w:val="00261D17"/>
    <w:rsid w:val="00263F92"/>
    <w:rsid w:val="00264118"/>
    <w:rsid w:val="00265A8F"/>
    <w:rsid w:val="00270ABE"/>
    <w:rsid w:val="00275FAA"/>
    <w:rsid w:val="00276F2B"/>
    <w:rsid w:val="00280423"/>
    <w:rsid w:val="00280552"/>
    <w:rsid w:val="00280573"/>
    <w:rsid w:val="0028130A"/>
    <w:rsid w:val="002821BD"/>
    <w:rsid w:val="00287550"/>
    <w:rsid w:val="002940D7"/>
    <w:rsid w:val="0029442A"/>
    <w:rsid w:val="00294C25"/>
    <w:rsid w:val="00294D72"/>
    <w:rsid w:val="0029552F"/>
    <w:rsid w:val="00297D4B"/>
    <w:rsid w:val="002A0677"/>
    <w:rsid w:val="002A0CD4"/>
    <w:rsid w:val="002A19E7"/>
    <w:rsid w:val="002A200A"/>
    <w:rsid w:val="002A2FA6"/>
    <w:rsid w:val="002A373E"/>
    <w:rsid w:val="002A37B0"/>
    <w:rsid w:val="002A5B97"/>
    <w:rsid w:val="002A64C4"/>
    <w:rsid w:val="002B19C1"/>
    <w:rsid w:val="002B291D"/>
    <w:rsid w:val="002B3104"/>
    <w:rsid w:val="002B398A"/>
    <w:rsid w:val="002B3B24"/>
    <w:rsid w:val="002B48F7"/>
    <w:rsid w:val="002B525C"/>
    <w:rsid w:val="002B5FED"/>
    <w:rsid w:val="002B7654"/>
    <w:rsid w:val="002C20A5"/>
    <w:rsid w:val="002C2D7C"/>
    <w:rsid w:val="002C3B19"/>
    <w:rsid w:val="002C4C1D"/>
    <w:rsid w:val="002C515E"/>
    <w:rsid w:val="002C5319"/>
    <w:rsid w:val="002C55B3"/>
    <w:rsid w:val="002C6730"/>
    <w:rsid w:val="002C79C3"/>
    <w:rsid w:val="002C7F6D"/>
    <w:rsid w:val="002D16E1"/>
    <w:rsid w:val="002D202E"/>
    <w:rsid w:val="002D696F"/>
    <w:rsid w:val="002D7A91"/>
    <w:rsid w:val="002E3A4B"/>
    <w:rsid w:val="002E3AC7"/>
    <w:rsid w:val="002E4AA0"/>
    <w:rsid w:val="002E5FCB"/>
    <w:rsid w:val="002E7B7F"/>
    <w:rsid w:val="002F0892"/>
    <w:rsid w:val="002F0C50"/>
    <w:rsid w:val="002F0D80"/>
    <w:rsid w:val="002F2124"/>
    <w:rsid w:val="002F3DD8"/>
    <w:rsid w:val="002F3EA2"/>
    <w:rsid w:val="002F6CBF"/>
    <w:rsid w:val="002F7A66"/>
    <w:rsid w:val="0030102B"/>
    <w:rsid w:val="00301C8C"/>
    <w:rsid w:val="00306E5F"/>
    <w:rsid w:val="00310FC7"/>
    <w:rsid w:val="003112F4"/>
    <w:rsid w:val="003115D6"/>
    <w:rsid w:val="003134CA"/>
    <w:rsid w:val="00314E2E"/>
    <w:rsid w:val="00315014"/>
    <w:rsid w:val="00315126"/>
    <w:rsid w:val="0031714D"/>
    <w:rsid w:val="0032038D"/>
    <w:rsid w:val="00321865"/>
    <w:rsid w:val="0032359D"/>
    <w:rsid w:val="00324327"/>
    <w:rsid w:val="0032614C"/>
    <w:rsid w:val="003273D4"/>
    <w:rsid w:val="00330EC1"/>
    <w:rsid w:val="003350AF"/>
    <w:rsid w:val="003356D0"/>
    <w:rsid w:val="003358B0"/>
    <w:rsid w:val="00336BED"/>
    <w:rsid w:val="00340844"/>
    <w:rsid w:val="00341A48"/>
    <w:rsid w:val="00342614"/>
    <w:rsid w:val="00343891"/>
    <w:rsid w:val="00344D58"/>
    <w:rsid w:val="00347C55"/>
    <w:rsid w:val="0035001F"/>
    <w:rsid w:val="00350581"/>
    <w:rsid w:val="003508BC"/>
    <w:rsid w:val="0035307A"/>
    <w:rsid w:val="0035426A"/>
    <w:rsid w:val="00356549"/>
    <w:rsid w:val="00361081"/>
    <w:rsid w:val="003614B6"/>
    <w:rsid w:val="00361F7A"/>
    <w:rsid w:val="00364F94"/>
    <w:rsid w:val="003651BC"/>
    <w:rsid w:val="0036537A"/>
    <w:rsid w:val="003712FE"/>
    <w:rsid w:val="003735D4"/>
    <w:rsid w:val="0037388F"/>
    <w:rsid w:val="003745FF"/>
    <w:rsid w:val="00375A35"/>
    <w:rsid w:val="00377D57"/>
    <w:rsid w:val="00380147"/>
    <w:rsid w:val="00380683"/>
    <w:rsid w:val="00380D7F"/>
    <w:rsid w:val="00381114"/>
    <w:rsid w:val="00381EED"/>
    <w:rsid w:val="00383D75"/>
    <w:rsid w:val="00386B38"/>
    <w:rsid w:val="0039291D"/>
    <w:rsid w:val="00392F1D"/>
    <w:rsid w:val="00393A31"/>
    <w:rsid w:val="00394A84"/>
    <w:rsid w:val="00394D62"/>
    <w:rsid w:val="0039591D"/>
    <w:rsid w:val="003A001D"/>
    <w:rsid w:val="003A1336"/>
    <w:rsid w:val="003A159A"/>
    <w:rsid w:val="003A6AE1"/>
    <w:rsid w:val="003B2BB9"/>
    <w:rsid w:val="003B3A95"/>
    <w:rsid w:val="003B4FCB"/>
    <w:rsid w:val="003B50AD"/>
    <w:rsid w:val="003B7204"/>
    <w:rsid w:val="003B7966"/>
    <w:rsid w:val="003B7B1E"/>
    <w:rsid w:val="003C174F"/>
    <w:rsid w:val="003C1C2D"/>
    <w:rsid w:val="003C2874"/>
    <w:rsid w:val="003C3CA2"/>
    <w:rsid w:val="003C5DBD"/>
    <w:rsid w:val="003C5E84"/>
    <w:rsid w:val="003C7BAB"/>
    <w:rsid w:val="003D00FA"/>
    <w:rsid w:val="003D37B7"/>
    <w:rsid w:val="003D4E97"/>
    <w:rsid w:val="003D5C2B"/>
    <w:rsid w:val="003D5D99"/>
    <w:rsid w:val="003D6090"/>
    <w:rsid w:val="003E1CE8"/>
    <w:rsid w:val="003E28A5"/>
    <w:rsid w:val="003E4840"/>
    <w:rsid w:val="003E7EB5"/>
    <w:rsid w:val="003F122C"/>
    <w:rsid w:val="003F37E8"/>
    <w:rsid w:val="003F3F65"/>
    <w:rsid w:val="003F6E28"/>
    <w:rsid w:val="00401EE8"/>
    <w:rsid w:val="00403151"/>
    <w:rsid w:val="00410067"/>
    <w:rsid w:val="00411355"/>
    <w:rsid w:val="00412701"/>
    <w:rsid w:val="004147C0"/>
    <w:rsid w:val="00414815"/>
    <w:rsid w:val="00414AF7"/>
    <w:rsid w:val="00415440"/>
    <w:rsid w:val="004154E8"/>
    <w:rsid w:val="00416A04"/>
    <w:rsid w:val="00416C94"/>
    <w:rsid w:val="00417602"/>
    <w:rsid w:val="004215D4"/>
    <w:rsid w:val="00421DAC"/>
    <w:rsid w:val="00422D11"/>
    <w:rsid w:val="00423285"/>
    <w:rsid w:val="004245AA"/>
    <w:rsid w:val="004251C8"/>
    <w:rsid w:val="004260DB"/>
    <w:rsid w:val="00427BAB"/>
    <w:rsid w:val="00427CC1"/>
    <w:rsid w:val="00430045"/>
    <w:rsid w:val="004321D4"/>
    <w:rsid w:val="004340F7"/>
    <w:rsid w:val="00437D9D"/>
    <w:rsid w:val="00440371"/>
    <w:rsid w:val="00440B1D"/>
    <w:rsid w:val="0044124D"/>
    <w:rsid w:val="00441468"/>
    <w:rsid w:val="00442A6B"/>
    <w:rsid w:val="00443981"/>
    <w:rsid w:val="004456FE"/>
    <w:rsid w:val="004514A3"/>
    <w:rsid w:val="00453145"/>
    <w:rsid w:val="00453765"/>
    <w:rsid w:val="00453D6D"/>
    <w:rsid w:val="004540A4"/>
    <w:rsid w:val="00454888"/>
    <w:rsid w:val="00455175"/>
    <w:rsid w:val="004558EF"/>
    <w:rsid w:val="00457290"/>
    <w:rsid w:val="0045743F"/>
    <w:rsid w:val="00457BC8"/>
    <w:rsid w:val="00462347"/>
    <w:rsid w:val="00462C81"/>
    <w:rsid w:val="004643F1"/>
    <w:rsid w:val="0046467C"/>
    <w:rsid w:val="004656B5"/>
    <w:rsid w:val="004674B6"/>
    <w:rsid w:val="00467521"/>
    <w:rsid w:val="00471AF2"/>
    <w:rsid w:val="00472EC7"/>
    <w:rsid w:val="0047358A"/>
    <w:rsid w:val="00473870"/>
    <w:rsid w:val="00473D96"/>
    <w:rsid w:val="004744F5"/>
    <w:rsid w:val="004764E3"/>
    <w:rsid w:val="00480237"/>
    <w:rsid w:val="0048191D"/>
    <w:rsid w:val="00483336"/>
    <w:rsid w:val="00484E6D"/>
    <w:rsid w:val="00486454"/>
    <w:rsid w:val="0048695C"/>
    <w:rsid w:val="00486EF9"/>
    <w:rsid w:val="00487D33"/>
    <w:rsid w:val="00487F2E"/>
    <w:rsid w:val="004906FB"/>
    <w:rsid w:val="004913AA"/>
    <w:rsid w:val="004916D7"/>
    <w:rsid w:val="0049175B"/>
    <w:rsid w:val="004926FA"/>
    <w:rsid w:val="00492F16"/>
    <w:rsid w:val="0049324F"/>
    <w:rsid w:val="00493793"/>
    <w:rsid w:val="004937F4"/>
    <w:rsid w:val="00493D68"/>
    <w:rsid w:val="0049600D"/>
    <w:rsid w:val="004A01D0"/>
    <w:rsid w:val="004A063E"/>
    <w:rsid w:val="004A07DF"/>
    <w:rsid w:val="004A1188"/>
    <w:rsid w:val="004A41D7"/>
    <w:rsid w:val="004A52FD"/>
    <w:rsid w:val="004A5E7B"/>
    <w:rsid w:val="004A61AD"/>
    <w:rsid w:val="004A6321"/>
    <w:rsid w:val="004A7440"/>
    <w:rsid w:val="004A7E8C"/>
    <w:rsid w:val="004B1049"/>
    <w:rsid w:val="004B1F5C"/>
    <w:rsid w:val="004B2DF5"/>
    <w:rsid w:val="004B3E64"/>
    <w:rsid w:val="004B47F1"/>
    <w:rsid w:val="004B4CF2"/>
    <w:rsid w:val="004B65BD"/>
    <w:rsid w:val="004C0001"/>
    <w:rsid w:val="004C0DE2"/>
    <w:rsid w:val="004C1C6C"/>
    <w:rsid w:val="004C2BE2"/>
    <w:rsid w:val="004C59B8"/>
    <w:rsid w:val="004C64E8"/>
    <w:rsid w:val="004D11D1"/>
    <w:rsid w:val="004D1A65"/>
    <w:rsid w:val="004D2896"/>
    <w:rsid w:val="004D336E"/>
    <w:rsid w:val="004D459C"/>
    <w:rsid w:val="004D4779"/>
    <w:rsid w:val="004D4C57"/>
    <w:rsid w:val="004E1CC0"/>
    <w:rsid w:val="004E3BF2"/>
    <w:rsid w:val="004E4A3E"/>
    <w:rsid w:val="004E4FDE"/>
    <w:rsid w:val="004E7337"/>
    <w:rsid w:val="004F027F"/>
    <w:rsid w:val="004F21AE"/>
    <w:rsid w:val="004F27E7"/>
    <w:rsid w:val="004F2F62"/>
    <w:rsid w:val="004F3978"/>
    <w:rsid w:val="004F4492"/>
    <w:rsid w:val="004F49B5"/>
    <w:rsid w:val="004F6C63"/>
    <w:rsid w:val="005001B9"/>
    <w:rsid w:val="00500E84"/>
    <w:rsid w:val="00501994"/>
    <w:rsid w:val="005031E5"/>
    <w:rsid w:val="00504165"/>
    <w:rsid w:val="0050666C"/>
    <w:rsid w:val="0051160D"/>
    <w:rsid w:val="00514744"/>
    <w:rsid w:val="005159D6"/>
    <w:rsid w:val="00520F7A"/>
    <w:rsid w:val="00521C8C"/>
    <w:rsid w:val="00522DD0"/>
    <w:rsid w:val="00523139"/>
    <w:rsid w:val="00523B82"/>
    <w:rsid w:val="00524385"/>
    <w:rsid w:val="00524B66"/>
    <w:rsid w:val="00526FD7"/>
    <w:rsid w:val="00532BF0"/>
    <w:rsid w:val="00533217"/>
    <w:rsid w:val="00533DD8"/>
    <w:rsid w:val="005349A9"/>
    <w:rsid w:val="00534E02"/>
    <w:rsid w:val="005357B7"/>
    <w:rsid w:val="00535BB4"/>
    <w:rsid w:val="00536A88"/>
    <w:rsid w:val="00537794"/>
    <w:rsid w:val="005406B5"/>
    <w:rsid w:val="00540C91"/>
    <w:rsid w:val="00541112"/>
    <w:rsid w:val="00541E82"/>
    <w:rsid w:val="0054368B"/>
    <w:rsid w:val="0054409F"/>
    <w:rsid w:val="0054740D"/>
    <w:rsid w:val="00550350"/>
    <w:rsid w:val="005507FE"/>
    <w:rsid w:val="0055375F"/>
    <w:rsid w:val="005605DC"/>
    <w:rsid w:val="0056333F"/>
    <w:rsid w:val="005633CC"/>
    <w:rsid w:val="00563686"/>
    <w:rsid w:val="00563E34"/>
    <w:rsid w:val="00564820"/>
    <w:rsid w:val="00566F98"/>
    <w:rsid w:val="00567D70"/>
    <w:rsid w:val="0057419C"/>
    <w:rsid w:val="0057613E"/>
    <w:rsid w:val="00576D2C"/>
    <w:rsid w:val="00576F53"/>
    <w:rsid w:val="00577D8A"/>
    <w:rsid w:val="00580987"/>
    <w:rsid w:val="00581985"/>
    <w:rsid w:val="00581E6E"/>
    <w:rsid w:val="0058213C"/>
    <w:rsid w:val="005823CD"/>
    <w:rsid w:val="005829F3"/>
    <w:rsid w:val="005855E7"/>
    <w:rsid w:val="00587D03"/>
    <w:rsid w:val="005906FD"/>
    <w:rsid w:val="0059448D"/>
    <w:rsid w:val="00597373"/>
    <w:rsid w:val="005975D0"/>
    <w:rsid w:val="00597B62"/>
    <w:rsid w:val="005A0C41"/>
    <w:rsid w:val="005A33AB"/>
    <w:rsid w:val="005A38F6"/>
    <w:rsid w:val="005A47C6"/>
    <w:rsid w:val="005A5B04"/>
    <w:rsid w:val="005A7ABE"/>
    <w:rsid w:val="005B1A61"/>
    <w:rsid w:val="005B1D64"/>
    <w:rsid w:val="005B2154"/>
    <w:rsid w:val="005B43F0"/>
    <w:rsid w:val="005B6C89"/>
    <w:rsid w:val="005B77F1"/>
    <w:rsid w:val="005C2980"/>
    <w:rsid w:val="005C4F34"/>
    <w:rsid w:val="005C535D"/>
    <w:rsid w:val="005C747F"/>
    <w:rsid w:val="005D0334"/>
    <w:rsid w:val="005D0703"/>
    <w:rsid w:val="005D0BB7"/>
    <w:rsid w:val="005D2264"/>
    <w:rsid w:val="005D2C48"/>
    <w:rsid w:val="005D41B5"/>
    <w:rsid w:val="005E058D"/>
    <w:rsid w:val="005E1878"/>
    <w:rsid w:val="005E3B9F"/>
    <w:rsid w:val="005E4182"/>
    <w:rsid w:val="005E5500"/>
    <w:rsid w:val="005E57A4"/>
    <w:rsid w:val="005E5E2A"/>
    <w:rsid w:val="005E6D90"/>
    <w:rsid w:val="005F034A"/>
    <w:rsid w:val="005F0927"/>
    <w:rsid w:val="005F0ACF"/>
    <w:rsid w:val="005F109A"/>
    <w:rsid w:val="005F1F9A"/>
    <w:rsid w:val="005F2E44"/>
    <w:rsid w:val="005F375A"/>
    <w:rsid w:val="005F6BF5"/>
    <w:rsid w:val="00601BE2"/>
    <w:rsid w:val="0060210B"/>
    <w:rsid w:val="0060252C"/>
    <w:rsid w:val="006031D7"/>
    <w:rsid w:val="0060477E"/>
    <w:rsid w:val="0061217E"/>
    <w:rsid w:val="006124DC"/>
    <w:rsid w:val="006153A7"/>
    <w:rsid w:val="00616509"/>
    <w:rsid w:val="00620B95"/>
    <w:rsid w:val="00620C9B"/>
    <w:rsid w:val="006212DE"/>
    <w:rsid w:val="006229F8"/>
    <w:rsid w:val="00623E48"/>
    <w:rsid w:val="00623F22"/>
    <w:rsid w:val="006250EE"/>
    <w:rsid w:val="0062756D"/>
    <w:rsid w:val="0062772F"/>
    <w:rsid w:val="0062782E"/>
    <w:rsid w:val="00627BDF"/>
    <w:rsid w:val="00630342"/>
    <w:rsid w:val="006309DE"/>
    <w:rsid w:val="00630EC4"/>
    <w:rsid w:val="00631273"/>
    <w:rsid w:val="00633C27"/>
    <w:rsid w:val="00635B05"/>
    <w:rsid w:val="0063618F"/>
    <w:rsid w:val="00637379"/>
    <w:rsid w:val="006373DC"/>
    <w:rsid w:val="0063795C"/>
    <w:rsid w:val="006400D6"/>
    <w:rsid w:val="00641547"/>
    <w:rsid w:val="0064258A"/>
    <w:rsid w:val="00644901"/>
    <w:rsid w:val="00647BB9"/>
    <w:rsid w:val="00653CA7"/>
    <w:rsid w:val="00654F40"/>
    <w:rsid w:val="0065521A"/>
    <w:rsid w:val="00655B6A"/>
    <w:rsid w:val="00657827"/>
    <w:rsid w:val="0066053C"/>
    <w:rsid w:val="0066386E"/>
    <w:rsid w:val="0066445A"/>
    <w:rsid w:val="0066745F"/>
    <w:rsid w:val="006713D5"/>
    <w:rsid w:val="0067558C"/>
    <w:rsid w:val="00676003"/>
    <w:rsid w:val="006760B6"/>
    <w:rsid w:val="00676608"/>
    <w:rsid w:val="00681AC4"/>
    <w:rsid w:val="00681ED9"/>
    <w:rsid w:val="006839C7"/>
    <w:rsid w:val="006841FE"/>
    <w:rsid w:val="0068605A"/>
    <w:rsid w:val="00690926"/>
    <w:rsid w:val="00690C35"/>
    <w:rsid w:val="0069128F"/>
    <w:rsid w:val="00692655"/>
    <w:rsid w:val="00692A53"/>
    <w:rsid w:val="006941C8"/>
    <w:rsid w:val="00695276"/>
    <w:rsid w:val="006A18E8"/>
    <w:rsid w:val="006A1C84"/>
    <w:rsid w:val="006A52AA"/>
    <w:rsid w:val="006B0104"/>
    <w:rsid w:val="006B1503"/>
    <w:rsid w:val="006B2323"/>
    <w:rsid w:val="006B27BF"/>
    <w:rsid w:val="006B49C9"/>
    <w:rsid w:val="006B4D55"/>
    <w:rsid w:val="006C0FF9"/>
    <w:rsid w:val="006C1105"/>
    <w:rsid w:val="006C2D27"/>
    <w:rsid w:val="006C41C6"/>
    <w:rsid w:val="006C4EBA"/>
    <w:rsid w:val="006C736F"/>
    <w:rsid w:val="006D0063"/>
    <w:rsid w:val="006D1D47"/>
    <w:rsid w:val="006E0D58"/>
    <w:rsid w:val="006E12B2"/>
    <w:rsid w:val="006E18D0"/>
    <w:rsid w:val="006E191E"/>
    <w:rsid w:val="006E3774"/>
    <w:rsid w:val="006E43D3"/>
    <w:rsid w:val="006E4C66"/>
    <w:rsid w:val="006E5860"/>
    <w:rsid w:val="006E79D5"/>
    <w:rsid w:val="006E7B58"/>
    <w:rsid w:val="006E7FD4"/>
    <w:rsid w:val="006F0231"/>
    <w:rsid w:val="006F1E45"/>
    <w:rsid w:val="006F2343"/>
    <w:rsid w:val="006F2C14"/>
    <w:rsid w:val="006F30E7"/>
    <w:rsid w:val="006F36DE"/>
    <w:rsid w:val="006F41E0"/>
    <w:rsid w:val="006F4C13"/>
    <w:rsid w:val="006F5DE7"/>
    <w:rsid w:val="006F61D0"/>
    <w:rsid w:val="006F7BAE"/>
    <w:rsid w:val="00700AC8"/>
    <w:rsid w:val="007029D9"/>
    <w:rsid w:val="007058C0"/>
    <w:rsid w:val="00706107"/>
    <w:rsid w:val="00714218"/>
    <w:rsid w:val="00715053"/>
    <w:rsid w:val="0071754C"/>
    <w:rsid w:val="00717ED9"/>
    <w:rsid w:val="00720848"/>
    <w:rsid w:val="00721C32"/>
    <w:rsid w:val="00721D44"/>
    <w:rsid w:val="00722DC2"/>
    <w:rsid w:val="00723749"/>
    <w:rsid w:val="00724937"/>
    <w:rsid w:val="007254CA"/>
    <w:rsid w:val="007260C9"/>
    <w:rsid w:val="00730757"/>
    <w:rsid w:val="00732BFA"/>
    <w:rsid w:val="00733067"/>
    <w:rsid w:val="00733407"/>
    <w:rsid w:val="00733782"/>
    <w:rsid w:val="00735512"/>
    <w:rsid w:val="00736B9D"/>
    <w:rsid w:val="0073769F"/>
    <w:rsid w:val="00737BB6"/>
    <w:rsid w:val="00742D01"/>
    <w:rsid w:val="00745F48"/>
    <w:rsid w:val="00747E3F"/>
    <w:rsid w:val="0075045F"/>
    <w:rsid w:val="00750F39"/>
    <w:rsid w:val="007519D9"/>
    <w:rsid w:val="00753022"/>
    <w:rsid w:val="00754ABC"/>
    <w:rsid w:val="00754D65"/>
    <w:rsid w:val="0075510A"/>
    <w:rsid w:val="007559D9"/>
    <w:rsid w:val="00760325"/>
    <w:rsid w:val="007621F9"/>
    <w:rsid w:val="007622B1"/>
    <w:rsid w:val="00762EA5"/>
    <w:rsid w:val="00767B7C"/>
    <w:rsid w:val="00770D55"/>
    <w:rsid w:val="007716E4"/>
    <w:rsid w:val="00772C32"/>
    <w:rsid w:val="00775330"/>
    <w:rsid w:val="00776493"/>
    <w:rsid w:val="00777B19"/>
    <w:rsid w:val="007805CB"/>
    <w:rsid w:val="00780D89"/>
    <w:rsid w:val="00783119"/>
    <w:rsid w:val="007842BE"/>
    <w:rsid w:val="0078448C"/>
    <w:rsid w:val="00787578"/>
    <w:rsid w:val="00787A73"/>
    <w:rsid w:val="00787E1F"/>
    <w:rsid w:val="00790845"/>
    <w:rsid w:val="0079175A"/>
    <w:rsid w:val="00794746"/>
    <w:rsid w:val="007A13E4"/>
    <w:rsid w:val="007A31D1"/>
    <w:rsid w:val="007A61E0"/>
    <w:rsid w:val="007A6B6D"/>
    <w:rsid w:val="007B2654"/>
    <w:rsid w:val="007B32B7"/>
    <w:rsid w:val="007B35C7"/>
    <w:rsid w:val="007B3FE8"/>
    <w:rsid w:val="007B55D1"/>
    <w:rsid w:val="007B56D5"/>
    <w:rsid w:val="007B6BAC"/>
    <w:rsid w:val="007B7F0E"/>
    <w:rsid w:val="007C027B"/>
    <w:rsid w:val="007C051C"/>
    <w:rsid w:val="007C0A24"/>
    <w:rsid w:val="007C0FFA"/>
    <w:rsid w:val="007C2730"/>
    <w:rsid w:val="007C430F"/>
    <w:rsid w:val="007C4705"/>
    <w:rsid w:val="007C49EF"/>
    <w:rsid w:val="007C4DCD"/>
    <w:rsid w:val="007C5B65"/>
    <w:rsid w:val="007C5D5A"/>
    <w:rsid w:val="007C66E7"/>
    <w:rsid w:val="007D01B1"/>
    <w:rsid w:val="007D4C5A"/>
    <w:rsid w:val="007D4CFF"/>
    <w:rsid w:val="007D656C"/>
    <w:rsid w:val="007D66F6"/>
    <w:rsid w:val="007D74D6"/>
    <w:rsid w:val="007E0A08"/>
    <w:rsid w:val="007E4CA9"/>
    <w:rsid w:val="007E4E0E"/>
    <w:rsid w:val="007E6668"/>
    <w:rsid w:val="007E7F96"/>
    <w:rsid w:val="007F1258"/>
    <w:rsid w:val="007F15C5"/>
    <w:rsid w:val="007F1939"/>
    <w:rsid w:val="007F2EFF"/>
    <w:rsid w:val="007F2F87"/>
    <w:rsid w:val="007F5D47"/>
    <w:rsid w:val="007F6395"/>
    <w:rsid w:val="007F6760"/>
    <w:rsid w:val="007F77A1"/>
    <w:rsid w:val="00804DDE"/>
    <w:rsid w:val="00805D47"/>
    <w:rsid w:val="008070E5"/>
    <w:rsid w:val="008074AE"/>
    <w:rsid w:val="00810765"/>
    <w:rsid w:val="00813022"/>
    <w:rsid w:val="00814B76"/>
    <w:rsid w:val="0081590B"/>
    <w:rsid w:val="00816653"/>
    <w:rsid w:val="008168E4"/>
    <w:rsid w:val="00821DB8"/>
    <w:rsid w:val="00822B37"/>
    <w:rsid w:val="0082368C"/>
    <w:rsid w:val="008246D0"/>
    <w:rsid w:val="00830F6B"/>
    <w:rsid w:val="0083188F"/>
    <w:rsid w:val="00831D05"/>
    <w:rsid w:val="008320FF"/>
    <w:rsid w:val="008324B6"/>
    <w:rsid w:val="008326CC"/>
    <w:rsid w:val="00833FF7"/>
    <w:rsid w:val="0083611E"/>
    <w:rsid w:val="00836855"/>
    <w:rsid w:val="00836B2F"/>
    <w:rsid w:val="00840596"/>
    <w:rsid w:val="008424F0"/>
    <w:rsid w:val="008449AC"/>
    <w:rsid w:val="00844CAD"/>
    <w:rsid w:val="00846CEA"/>
    <w:rsid w:val="0085109C"/>
    <w:rsid w:val="008533BE"/>
    <w:rsid w:val="00854ECC"/>
    <w:rsid w:val="00855462"/>
    <w:rsid w:val="00856293"/>
    <w:rsid w:val="00857633"/>
    <w:rsid w:val="00857930"/>
    <w:rsid w:val="0086007E"/>
    <w:rsid w:val="008615AD"/>
    <w:rsid w:val="00861E52"/>
    <w:rsid w:val="00862C73"/>
    <w:rsid w:val="00864812"/>
    <w:rsid w:val="00865B07"/>
    <w:rsid w:val="00865B7A"/>
    <w:rsid w:val="00867D44"/>
    <w:rsid w:val="00871D79"/>
    <w:rsid w:val="0087249F"/>
    <w:rsid w:val="00872841"/>
    <w:rsid w:val="00874456"/>
    <w:rsid w:val="0087522F"/>
    <w:rsid w:val="008752A0"/>
    <w:rsid w:val="00875F6B"/>
    <w:rsid w:val="00876B3D"/>
    <w:rsid w:val="00880257"/>
    <w:rsid w:val="008826EB"/>
    <w:rsid w:val="008838FF"/>
    <w:rsid w:val="00884823"/>
    <w:rsid w:val="00885B14"/>
    <w:rsid w:val="00890632"/>
    <w:rsid w:val="00891B57"/>
    <w:rsid w:val="00892245"/>
    <w:rsid w:val="00893821"/>
    <w:rsid w:val="008952DA"/>
    <w:rsid w:val="00897655"/>
    <w:rsid w:val="008A0CEB"/>
    <w:rsid w:val="008A26C9"/>
    <w:rsid w:val="008A2DD3"/>
    <w:rsid w:val="008A43E0"/>
    <w:rsid w:val="008A7149"/>
    <w:rsid w:val="008B3392"/>
    <w:rsid w:val="008B4481"/>
    <w:rsid w:val="008B5110"/>
    <w:rsid w:val="008B6C1F"/>
    <w:rsid w:val="008C0843"/>
    <w:rsid w:val="008C0D82"/>
    <w:rsid w:val="008C29E0"/>
    <w:rsid w:val="008C2A64"/>
    <w:rsid w:val="008D22C5"/>
    <w:rsid w:val="008D2834"/>
    <w:rsid w:val="008D295B"/>
    <w:rsid w:val="008D72B7"/>
    <w:rsid w:val="008D735D"/>
    <w:rsid w:val="008E1151"/>
    <w:rsid w:val="008E1BD6"/>
    <w:rsid w:val="008E1FA9"/>
    <w:rsid w:val="008E3962"/>
    <w:rsid w:val="008E5BB7"/>
    <w:rsid w:val="008E7676"/>
    <w:rsid w:val="008F0674"/>
    <w:rsid w:val="008F3836"/>
    <w:rsid w:val="008F59DD"/>
    <w:rsid w:val="00900B1F"/>
    <w:rsid w:val="00902143"/>
    <w:rsid w:val="009029E0"/>
    <w:rsid w:val="00905FB0"/>
    <w:rsid w:val="00910263"/>
    <w:rsid w:val="00910A43"/>
    <w:rsid w:val="00910FA5"/>
    <w:rsid w:val="00913559"/>
    <w:rsid w:val="00921C04"/>
    <w:rsid w:val="009220D6"/>
    <w:rsid w:val="00923072"/>
    <w:rsid w:val="00923B95"/>
    <w:rsid w:val="0092406F"/>
    <w:rsid w:val="009244A2"/>
    <w:rsid w:val="00925279"/>
    <w:rsid w:val="009263AB"/>
    <w:rsid w:val="009268CC"/>
    <w:rsid w:val="00930998"/>
    <w:rsid w:val="00932306"/>
    <w:rsid w:val="009331C0"/>
    <w:rsid w:val="00936524"/>
    <w:rsid w:val="00937773"/>
    <w:rsid w:val="00937F08"/>
    <w:rsid w:val="00941B6B"/>
    <w:rsid w:val="00942B2B"/>
    <w:rsid w:val="00942D52"/>
    <w:rsid w:val="00944373"/>
    <w:rsid w:val="0094504F"/>
    <w:rsid w:val="00945CC4"/>
    <w:rsid w:val="00947687"/>
    <w:rsid w:val="009506B6"/>
    <w:rsid w:val="00952C3B"/>
    <w:rsid w:val="00953242"/>
    <w:rsid w:val="00953EAD"/>
    <w:rsid w:val="00955F7E"/>
    <w:rsid w:val="0095639E"/>
    <w:rsid w:val="00957A33"/>
    <w:rsid w:val="00960451"/>
    <w:rsid w:val="0096067B"/>
    <w:rsid w:val="009609D1"/>
    <w:rsid w:val="00962EA8"/>
    <w:rsid w:val="00964807"/>
    <w:rsid w:val="00966AAB"/>
    <w:rsid w:val="00967A86"/>
    <w:rsid w:val="0097284D"/>
    <w:rsid w:val="00972C46"/>
    <w:rsid w:val="00973FC9"/>
    <w:rsid w:val="0097549E"/>
    <w:rsid w:val="0097610E"/>
    <w:rsid w:val="00977430"/>
    <w:rsid w:val="00977F10"/>
    <w:rsid w:val="00982D06"/>
    <w:rsid w:val="0098348F"/>
    <w:rsid w:val="00985BFF"/>
    <w:rsid w:val="009934A2"/>
    <w:rsid w:val="00994A3E"/>
    <w:rsid w:val="00994C1E"/>
    <w:rsid w:val="00995D45"/>
    <w:rsid w:val="009978CA"/>
    <w:rsid w:val="00997BF2"/>
    <w:rsid w:val="009A42A9"/>
    <w:rsid w:val="009A4BB7"/>
    <w:rsid w:val="009A5CCB"/>
    <w:rsid w:val="009A5F0E"/>
    <w:rsid w:val="009B0F0D"/>
    <w:rsid w:val="009B4B28"/>
    <w:rsid w:val="009B7349"/>
    <w:rsid w:val="009B7A0E"/>
    <w:rsid w:val="009B7E2F"/>
    <w:rsid w:val="009C0320"/>
    <w:rsid w:val="009C0521"/>
    <w:rsid w:val="009C1180"/>
    <w:rsid w:val="009C16EA"/>
    <w:rsid w:val="009C7E77"/>
    <w:rsid w:val="009D1262"/>
    <w:rsid w:val="009D463F"/>
    <w:rsid w:val="009D7A25"/>
    <w:rsid w:val="009D7D27"/>
    <w:rsid w:val="009E08F9"/>
    <w:rsid w:val="009E40C0"/>
    <w:rsid w:val="009E4A22"/>
    <w:rsid w:val="009E59F5"/>
    <w:rsid w:val="009E6BE6"/>
    <w:rsid w:val="009E74F9"/>
    <w:rsid w:val="009E7AAE"/>
    <w:rsid w:val="009F3B0B"/>
    <w:rsid w:val="009F4BE2"/>
    <w:rsid w:val="009F58A6"/>
    <w:rsid w:val="009F7385"/>
    <w:rsid w:val="00A010F4"/>
    <w:rsid w:val="00A02F48"/>
    <w:rsid w:val="00A05ECB"/>
    <w:rsid w:val="00A06686"/>
    <w:rsid w:val="00A06A73"/>
    <w:rsid w:val="00A1079A"/>
    <w:rsid w:val="00A10D5C"/>
    <w:rsid w:val="00A1112C"/>
    <w:rsid w:val="00A1610F"/>
    <w:rsid w:val="00A16C9D"/>
    <w:rsid w:val="00A17B3F"/>
    <w:rsid w:val="00A200A1"/>
    <w:rsid w:val="00A23064"/>
    <w:rsid w:val="00A249E2"/>
    <w:rsid w:val="00A25BA1"/>
    <w:rsid w:val="00A31DF8"/>
    <w:rsid w:val="00A32513"/>
    <w:rsid w:val="00A33FE3"/>
    <w:rsid w:val="00A35126"/>
    <w:rsid w:val="00A40161"/>
    <w:rsid w:val="00A41D6F"/>
    <w:rsid w:val="00A41F09"/>
    <w:rsid w:val="00A42694"/>
    <w:rsid w:val="00A428C5"/>
    <w:rsid w:val="00A4326A"/>
    <w:rsid w:val="00A44FB5"/>
    <w:rsid w:val="00A509D5"/>
    <w:rsid w:val="00A51FF8"/>
    <w:rsid w:val="00A5436C"/>
    <w:rsid w:val="00A60A2E"/>
    <w:rsid w:val="00A60DA2"/>
    <w:rsid w:val="00A6206B"/>
    <w:rsid w:val="00A658E0"/>
    <w:rsid w:val="00A65C2E"/>
    <w:rsid w:val="00A65EE0"/>
    <w:rsid w:val="00A6671B"/>
    <w:rsid w:val="00A66C1C"/>
    <w:rsid w:val="00A676B4"/>
    <w:rsid w:val="00A705C2"/>
    <w:rsid w:val="00A73466"/>
    <w:rsid w:val="00A746A2"/>
    <w:rsid w:val="00A74E8A"/>
    <w:rsid w:val="00A759B1"/>
    <w:rsid w:val="00A75D59"/>
    <w:rsid w:val="00A809A9"/>
    <w:rsid w:val="00A814DE"/>
    <w:rsid w:val="00A836EA"/>
    <w:rsid w:val="00A84C19"/>
    <w:rsid w:val="00A85196"/>
    <w:rsid w:val="00A857E4"/>
    <w:rsid w:val="00A86D1F"/>
    <w:rsid w:val="00A94B68"/>
    <w:rsid w:val="00A9504B"/>
    <w:rsid w:val="00A954B6"/>
    <w:rsid w:val="00A97922"/>
    <w:rsid w:val="00A97C18"/>
    <w:rsid w:val="00A97EB4"/>
    <w:rsid w:val="00AA1B7B"/>
    <w:rsid w:val="00AA2D96"/>
    <w:rsid w:val="00AA34FD"/>
    <w:rsid w:val="00AA6357"/>
    <w:rsid w:val="00AA68E9"/>
    <w:rsid w:val="00AB086A"/>
    <w:rsid w:val="00AB3418"/>
    <w:rsid w:val="00AB3FE6"/>
    <w:rsid w:val="00AB42FC"/>
    <w:rsid w:val="00AB66BA"/>
    <w:rsid w:val="00AB676B"/>
    <w:rsid w:val="00AB6E6B"/>
    <w:rsid w:val="00AB74F8"/>
    <w:rsid w:val="00AB7F11"/>
    <w:rsid w:val="00AC0AD8"/>
    <w:rsid w:val="00AC1374"/>
    <w:rsid w:val="00AC1EB0"/>
    <w:rsid w:val="00AC2676"/>
    <w:rsid w:val="00AC4AB7"/>
    <w:rsid w:val="00AC5280"/>
    <w:rsid w:val="00AC7E83"/>
    <w:rsid w:val="00AD5F69"/>
    <w:rsid w:val="00AD5FED"/>
    <w:rsid w:val="00AD66F8"/>
    <w:rsid w:val="00AD676C"/>
    <w:rsid w:val="00AD7E87"/>
    <w:rsid w:val="00AE05D9"/>
    <w:rsid w:val="00AE1BF5"/>
    <w:rsid w:val="00AE7344"/>
    <w:rsid w:val="00AF07A3"/>
    <w:rsid w:val="00AF1026"/>
    <w:rsid w:val="00AF1BBF"/>
    <w:rsid w:val="00AF2924"/>
    <w:rsid w:val="00AF29EC"/>
    <w:rsid w:val="00AF303A"/>
    <w:rsid w:val="00AF4435"/>
    <w:rsid w:val="00AF4AA7"/>
    <w:rsid w:val="00AF66AB"/>
    <w:rsid w:val="00AF6935"/>
    <w:rsid w:val="00AF732B"/>
    <w:rsid w:val="00AF75D1"/>
    <w:rsid w:val="00B030A5"/>
    <w:rsid w:val="00B03451"/>
    <w:rsid w:val="00B04086"/>
    <w:rsid w:val="00B04131"/>
    <w:rsid w:val="00B06984"/>
    <w:rsid w:val="00B077E8"/>
    <w:rsid w:val="00B1051A"/>
    <w:rsid w:val="00B109C3"/>
    <w:rsid w:val="00B12074"/>
    <w:rsid w:val="00B137EF"/>
    <w:rsid w:val="00B1538A"/>
    <w:rsid w:val="00B1641D"/>
    <w:rsid w:val="00B179C9"/>
    <w:rsid w:val="00B202C0"/>
    <w:rsid w:val="00B219AD"/>
    <w:rsid w:val="00B245AB"/>
    <w:rsid w:val="00B25786"/>
    <w:rsid w:val="00B25EC6"/>
    <w:rsid w:val="00B35602"/>
    <w:rsid w:val="00B35F09"/>
    <w:rsid w:val="00B3673E"/>
    <w:rsid w:val="00B40B15"/>
    <w:rsid w:val="00B42559"/>
    <w:rsid w:val="00B42ABE"/>
    <w:rsid w:val="00B432BC"/>
    <w:rsid w:val="00B44ABF"/>
    <w:rsid w:val="00B44CBB"/>
    <w:rsid w:val="00B47CA7"/>
    <w:rsid w:val="00B50562"/>
    <w:rsid w:val="00B50996"/>
    <w:rsid w:val="00B51CF8"/>
    <w:rsid w:val="00B51E45"/>
    <w:rsid w:val="00B53784"/>
    <w:rsid w:val="00B549DB"/>
    <w:rsid w:val="00B551D8"/>
    <w:rsid w:val="00B55C51"/>
    <w:rsid w:val="00B5607D"/>
    <w:rsid w:val="00B564B6"/>
    <w:rsid w:val="00B5681D"/>
    <w:rsid w:val="00B5704F"/>
    <w:rsid w:val="00B57332"/>
    <w:rsid w:val="00B60F69"/>
    <w:rsid w:val="00B627A4"/>
    <w:rsid w:val="00B62C86"/>
    <w:rsid w:val="00B63C48"/>
    <w:rsid w:val="00B63F1B"/>
    <w:rsid w:val="00B65859"/>
    <w:rsid w:val="00B661DF"/>
    <w:rsid w:val="00B74FCF"/>
    <w:rsid w:val="00B75E9D"/>
    <w:rsid w:val="00B75F10"/>
    <w:rsid w:val="00B75FC7"/>
    <w:rsid w:val="00B76A0F"/>
    <w:rsid w:val="00B770DF"/>
    <w:rsid w:val="00B77654"/>
    <w:rsid w:val="00B77AF7"/>
    <w:rsid w:val="00B8107A"/>
    <w:rsid w:val="00B810E5"/>
    <w:rsid w:val="00B81758"/>
    <w:rsid w:val="00B85BE1"/>
    <w:rsid w:val="00B8626A"/>
    <w:rsid w:val="00B8681D"/>
    <w:rsid w:val="00B900C2"/>
    <w:rsid w:val="00B91AF3"/>
    <w:rsid w:val="00B91CC9"/>
    <w:rsid w:val="00B95094"/>
    <w:rsid w:val="00B95752"/>
    <w:rsid w:val="00BA0780"/>
    <w:rsid w:val="00BA0E13"/>
    <w:rsid w:val="00BA15E9"/>
    <w:rsid w:val="00BA2E48"/>
    <w:rsid w:val="00BA37AF"/>
    <w:rsid w:val="00BA3CBC"/>
    <w:rsid w:val="00BA3F58"/>
    <w:rsid w:val="00BA54A7"/>
    <w:rsid w:val="00BA59BA"/>
    <w:rsid w:val="00BA60B7"/>
    <w:rsid w:val="00BA66EF"/>
    <w:rsid w:val="00BA6EBA"/>
    <w:rsid w:val="00BA710D"/>
    <w:rsid w:val="00BA7612"/>
    <w:rsid w:val="00BA7C2D"/>
    <w:rsid w:val="00BB0425"/>
    <w:rsid w:val="00BB0E36"/>
    <w:rsid w:val="00BB41B0"/>
    <w:rsid w:val="00BB47BE"/>
    <w:rsid w:val="00BB525E"/>
    <w:rsid w:val="00BB6900"/>
    <w:rsid w:val="00BC1B6F"/>
    <w:rsid w:val="00BC1D3A"/>
    <w:rsid w:val="00BC4FA5"/>
    <w:rsid w:val="00BC5696"/>
    <w:rsid w:val="00BD17DB"/>
    <w:rsid w:val="00BD4753"/>
    <w:rsid w:val="00BD4798"/>
    <w:rsid w:val="00BD5E96"/>
    <w:rsid w:val="00BD6118"/>
    <w:rsid w:val="00BD6226"/>
    <w:rsid w:val="00BD7168"/>
    <w:rsid w:val="00BE0805"/>
    <w:rsid w:val="00BE25E6"/>
    <w:rsid w:val="00BE2730"/>
    <w:rsid w:val="00BE2E3E"/>
    <w:rsid w:val="00BE410F"/>
    <w:rsid w:val="00BE43E7"/>
    <w:rsid w:val="00BE6542"/>
    <w:rsid w:val="00BE7AB7"/>
    <w:rsid w:val="00BF00D3"/>
    <w:rsid w:val="00BF0ACB"/>
    <w:rsid w:val="00BF56EA"/>
    <w:rsid w:val="00C00ED5"/>
    <w:rsid w:val="00C035D1"/>
    <w:rsid w:val="00C072DE"/>
    <w:rsid w:val="00C07399"/>
    <w:rsid w:val="00C1037B"/>
    <w:rsid w:val="00C103E8"/>
    <w:rsid w:val="00C10876"/>
    <w:rsid w:val="00C12016"/>
    <w:rsid w:val="00C1300C"/>
    <w:rsid w:val="00C147FA"/>
    <w:rsid w:val="00C1666E"/>
    <w:rsid w:val="00C16DCC"/>
    <w:rsid w:val="00C23E46"/>
    <w:rsid w:val="00C258E3"/>
    <w:rsid w:val="00C25E6F"/>
    <w:rsid w:val="00C262B2"/>
    <w:rsid w:val="00C278F6"/>
    <w:rsid w:val="00C30FFF"/>
    <w:rsid w:val="00C31E64"/>
    <w:rsid w:val="00C329EA"/>
    <w:rsid w:val="00C329EB"/>
    <w:rsid w:val="00C33898"/>
    <w:rsid w:val="00C33FF4"/>
    <w:rsid w:val="00C3434E"/>
    <w:rsid w:val="00C3541B"/>
    <w:rsid w:val="00C35E40"/>
    <w:rsid w:val="00C41200"/>
    <w:rsid w:val="00C41F75"/>
    <w:rsid w:val="00C423AD"/>
    <w:rsid w:val="00C4595F"/>
    <w:rsid w:val="00C4643C"/>
    <w:rsid w:val="00C46B6F"/>
    <w:rsid w:val="00C47967"/>
    <w:rsid w:val="00C52433"/>
    <w:rsid w:val="00C526A3"/>
    <w:rsid w:val="00C53496"/>
    <w:rsid w:val="00C54E8E"/>
    <w:rsid w:val="00C57C81"/>
    <w:rsid w:val="00C612E0"/>
    <w:rsid w:val="00C637BD"/>
    <w:rsid w:val="00C647B8"/>
    <w:rsid w:val="00C6528D"/>
    <w:rsid w:val="00C65906"/>
    <w:rsid w:val="00C6622B"/>
    <w:rsid w:val="00C67373"/>
    <w:rsid w:val="00C673B9"/>
    <w:rsid w:val="00C677D4"/>
    <w:rsid w:val="00C67C66"/>
    <w:rsid w:val="00C70778"/>
    <w:rsid w:val="00C7097E"/>
    <w:rsid w:val="00C7214D"/>
    <w:rsid w:val="00C729D7"/>
    <w:rsid w:val="00C72CAE"/>
    <w:rsid w:val="00C72F1E"/>
    <w:rsid w:val="00C7494B"/>
    <w:rsid w:val="00C77235"/>
    <w:rsid w:val="00C805D2"/>
    <w:rsid w:val="00C812B2"/>
    <w:rsid w:val="00C824AA"/>
    <w:rsid w:val="00C82BBD"/>
    <w:rsid w:val="00C82F3C"/>
    <w:rsid w:val="00C8334A"/>
    <w:rsid w:val="00C835FD"/>
    <w:rsid w:val="00C8508A"/>
    <w:rsid w:val="00C86E2E"/>
    <w:rsid w:val="00C9070E"/>
    <w:rsid w:val="00C916A9"/>
    <w:rsid w:val="00C92308"/>
    <w:rsid w:val="00C927FA"/>
    <w:rsid w:val="00C964AE"/>
    <w:rsid w:val="00CA45FD"/>
    <w:rsid w:val="00CA7A5B"/>
    <w:rsid w:val="00CA7B99"/>
    <w:rsid w:val="00CA7E8F"/>
    <w:rsid w:val="00CB03BD"/>
    <w:rsid w:val="00CB2F77"/>
    <w:rsid w:val="00CB366D"/>
    <w:rsid w:val="00CB36CD"/>
    <w:rsid w:val="00CB52A7"/>
    <w:rsid w:val="00CB7B20"/>
    <w:rsid w:val="00CC02F8"/>
    <w:rsid w:val="00CC44F7"/>
    <w:rsid w:val="00CC6FBE"/>
    <w:rsid w:val="00CC7E7D"/>
    <w:rsid w:val="00CD06F3"/>
    <w:rsid w:val="00CD072B"/>
    <w:rsid w:val="00CD425B"/>
    <w:rsid w:val="00CD4BFE"/>
    <w:rsid w:val="00CE24BD"/>
    <w:rsid w:val="00CE2799"/>
    <w:rsid w:val="00CE32D8"/>
    <w:rsid w:val="00CE38D8"/>
    <w:rsid w:val="00CE6685"/>
    <w:rsid w:val="00CE6D26"/>
    <w:rsid w:val="00CF011E"/>
    <w:rsid w:val="00CF0284"/>
    <w:rsid w:val="00CF101C"/>
    <w:rsid w:val="00CF17EE"/>
    <w:rsid w:val="00CF28B4"/>
    <w:rsid w:val="00CF36CF"/>
    <w:rsid w:val="00CF3CEB"/>
    <w:rsid w:val="00D014B9"/>
    <w:rsid w:val="00D01C96"/>
    <w:rsid w:val="00D02BA9"/>
    <w:rsid w:val="00D03C35"/>
    <w:rsid w:val="00D07EA9"/>
    <w:rsid w:val="00D122B4"/>
    <w:rsid w:val="00D13622"/>
    <w:rsid w:val="00D13CC5"/>
    <w:rsid w:val="00D14DFB"/>
    <w:rsid w:val="00D158CD"/>
    <w:rsid w:val="00D15ECB"/>
    <w:rsid w:val="00D1706B"/>
    <w:rsid w:val="00D173C2"/>
    <w:rsid w:val="00D21635"/>
    <w:rsid w:val="00D21B6B"/>
    <w:rsid w:val="00D2227D"/>
    <w:rsid w:val="00D2401A"/>
    <w:rsid w:val="00D274AE"/>
    <w:rsid w:val="00D27FBD"/>
    <w:rsid w:val="00D32A51"/>
    <w:rsid w:val="00D32F50"/>
    <w:rsid w:val="00D332CD"/>
    <w:rsid w:val="00D35036"/>
    <w:rsid w:val="00D3640B"/>
    <w:rsid w:val="00D40F5A"/>
    <w:rsid w:val="00D42985"/>
    <w:rsid w:val="00D44266"/>
    <w:rsid w:val="00D45E98"/>
    <w:rsid w:val="00D476E5"/>
    <w:rsid w:val="00D51F3D"/>
    <w:rsid w:val="00D54664"/>
    <w:rsid w:val="00D5656F"/>
    <w:rsid w:val="00D56576"/>
    <w:rsid w:val="00D565B3"/>
    <w:rsid w:val="00D56FD2"/>
    <w:rsid w:val="00D57A18"/>
    <w:rsid w:val="00D6010E"/>
    <w:rsid w:val="00D603C3"/>
    <w:rsid w:val="00D61609"/>
    <w:rsid w:val="00D64909"/>
    <w:rsid w:val="00D66751"/>
    <w:rsid w:val="00D74393"/>
    <w:rsid w:val="00D7517A"/>
    <w:rsid w:val="00D75D85"/>
    <w:rsid w:val="00D82D7E"/>
    <w:rsid w:val="00D847E5"/>
    <w:rsid w:val="00D84FBF"/>
    <w:rsid w:val="00D9140A"/>
    <w:rsid w:val="00D917FD"/>
    <w:rsid w:val="00D9270D"/>
    <w:rsid w:val="00DA024A"/>
    <w:rsid w:val="00DA0D59"/>
    <w:rsid w:val="00DA13B6"/>
    <w:rsid w:val="00DA3F72"/>
    <w:rsid w:val="00DA70F1"/>
    <w:rsid w:val="00DB1E5C"/>
    <w:rsid w:val="00DB23C4"/>
    <w:rsid w:val="00DB3935"/>
    <w:rsid w:val="00DB3999"/>
    <w:rsid w:val="00DB4468"/>
    <w:rsid w:val="00DB64A5"/>
    <w:rsid w:val="00DB67EA"/>
    <w:rsid w:val="00DB68FB"/>
    <w:rsid w:val="00DC11D9"/>
    <w:rsid w:val="00DC22F0"/>
    <w:rsid w:val="00DC7C61"/>
    <w:rsid w:val="00DD0E82"/>
    <w:rsid w:val="00DD1629"/>
    <w:rsid w:val="00DD171A"/>
    <w:rsid w:val="00DD2A10"/>
    <w:rsid w:val="00DD336B"/>
    <w:rsid w:val="00DD38C2"/>
    <w:rsid w:val="00DD59B9"/>
    <w:rsid w:val="00DD6E1B"/>
    <w:rsid w:val="00DD775C"/>
    <w:rsid w:val="00DE00CA"/>
    <w:rsid w:val="00DE32D1"/>
    <w:rsid w:val="00DE3AD1"/>
    <w:rsid w:val="00DE4FC6"/>
    <w:rsid w:val="00DE54D3"/>
    <w:rsid w:val="00DE705F"/>
    <w:rsid w:val="00DE7AA2"/>
    <w:rsid w:val="00DE7BF1"/>
    <w:rsid w:val="00DF0F84"/>
    <w:rsid w:val="00DF1543"/>
    <w:rsid w:val="00DF1782"/>
    <w:rsid w:val="00DF1BE7"/>
    <w:rsid w:val="00DF1C6F"/>
    <w:rsid w:val="00DF2138"/>
    <w:rsid w:val="00DF2BEC"/>
    <w:rsid w:val="00DF3B0E"/>
    <w:rsid w:val="00DF54FC"/>
    <w:rsid w:val="00DF6D8D"/>
    <w:rsid w:val="00E0458D"/>
    <w:rsid w:val="00E05667"/>
    <w:rsid w:val="00E05B87"/>
    <w:rsid w:val="00E10CFF"/>
    <w:rsid w:val="00E10D73"/>
    <w:rsid w:val="00E11DC3"/>
    <w:rsid w:val="00E12791"/>
    <w:rsid w:val="00E13150"/>
    <w:rsid w:val="00E1548E"/>
    <w:rsid w:val="00E15885"/>
    <w:rsid w:val="00E15EC8"/>
    <w:rsid w:val="00E16191"/>
    <w:rsid w:val="00E16B0D"/>
    <w:rsid w:val="00E207F2"/>
    <w:rsid w:val="00E20CD1"/>
    <w:rsid w:val="00E20F57"/>
    <w:rsid w:val="00E21A36"/>
    <w:rsid w:val="00E23AEE"/>
    <w:rsid w:val="00E2553D"/>
    <w:rsid w:val="00E26B46"/>
    <w:rsid w:val="00E30A19"/>
    <w:rsid w:val="00E3620C"/>
    <w:rsid w:val="00E41BEC"/>
    <w:rsid w:val="00E42D4A"/>
    <w:rsid w:val="00E45DCA"/>
    <w:rsid w:val="00E47D18"/>
    <w:rsid w:val="00E505E3"/>
    <w:rsid w:val="00E5060C"/>
    <w:rsid w:val="00E52B66"/>
    <w:rsid w:val="00E5397C"/>
    <w:rsid w:val="00E54DB0"/>
    <w:rsid w:val="00E56F7F"/>
    <w:rsid w:val="00E61E43"/>
    <w:rsid w:val="00E61F95"/>
    <w:rsid w:val="00E62B4E"/>
    <w:rsid w:val="00E63907"/>
    <w:rsid w:val="00E65362"/>
    <w:rsid w:val="00E65406"/>
    <w:rsid w:val="00E65F96"/>
    <w:rsid w:val="00E674EE"/>
    <w:rsid w:val="00E706FE"/>
    <w:rsid w:val="00E70EF1"/>
    <w:rsid w:val="00E71203"/>
    <w:rsid w:val="00E73F2A"/>
    <w:rsid w:val="00E74EA2"/>
    <w:rsid w:val="00E75F4D"/>
    <w:rsid w:val="00E7617C"/>
    <w:rsid w:val="00E76C25"/>
    <w:rsid w:val="00E80635"/>
    <w:rsid w:val="00E807A4"/>
    <w:rsid w:val="00E82F62"/>
    <w:rsid w:val="00E83A50"/>
    <w:rsid w:val="00E83FE1"/>
    <w:rsid w:val="00E84E28"/>
    <w:rsid w:val="00E865E6"/>
    <w:rsid w:val="00E86DBB"/>
    <w:rsid w:val="00E90783"/>
    <w:rsid w:val="00E91160"/>
    <w:rsid w:val="00E92366"/>
    <w:rsid w:val="00E92885"/>
    <w:rsid w:val="00E93FE0"/>
    <w:rsid w:val="00E94641"/>
    <w:rsid w:val="00EA0A68"/>
    <w:rsid w:val="00EA0E42"/>
    <w:rsid w:val="00EA44A4"/>
    <w:rsid w:val="00EA5253"/>
    <w:rsid w:val="00EA5706"/>
    <w:rsid w:val="00EA57B1"/>
    <w:rsid w:val="00EB0D46"/>
    <w:rsid w:val="00EB11B9"/>
    <w:rsid w:val="00EB2EFD"/>
    <w:rsid w:val="00EB3F02"/>
    <w:rsid w:val="00EB4B90"/>
    <w:rsid w:val="00EB7770"/>
    <w:rsid w:val="00EC0763"/>
    <w:rsid w:val="00EC1D67"/>
    <w:rsid w:val="00EC3279"/>
    <w:rsid w:val="00ED0067"/>
    <w:rsid w:val="00ED1397"/>
    <w:rsid w:val="00ED15CF"/>
    <w:rsid w:val="00ED2CF8"/>
    <w:rsid w:val="00ED2E5B"/>
    <w:rsid w:val="00ED5406"/>
    <w:rsid w:val="00ED6E75"/>
    <w:rsid w:val="00EE0259"/>
    <w:rsid w:val="00EE0EC5"/>
    <w:rsid w:val="00EE12A0"/>
    <w:rsid w:val="00EE1D30"/>
    <w:rsid w:val="00EE236E"/>
    <w:rsid w:val="00EE24DC"/>
    <w:rsid w:val="00EE2C09"/>
    <w:rsid w:val="00EE2FD2"/>
    <w:rsid w:val="00EE5505"/>
    <w:rsid w:val="00EE5630"/>
    <w:rsid w:val="00EE7B8F"/>
    <w:rsid w:val="00EE7CDB"/>
    <w:rsid w:val="00EF21F8"/>
    <w:rsid w:val="00EF27F3"/>
    <w:rsid w:val="00EF2AE1"/>
    <w:rsid w:val="00EF39D7"/>
    <w:rsid w:val="00EF668A"/>
    <w:rsid w:val="00EF6C74"/>
    <w:rsid w:val="00EF6D6B"/>
    <w:rsid w:val="00EF7B83"/>
    <w:rsid w:val="00EF7C90"/>
    <w:rsid w:val="00F0276E"/>
    <w:rsid w:val="00F02A61"/>
    <w:rsid w:val="00F03292"/>
    <w:rsid w:val="00F03CE0"/>
    <w:rsid w:val="00F052D7"/>
    <w:rsid w:val="00F06BB7"/>
    <w:rsid w:val="00F075AE"/>
    <w:rsid w:val="00F10A93"/>
    <w:rsid w:val="00F112C5"/>
    <w:rsid w:val="00F1287D"/>
    <w:rsid w:val="00F12E5F"/>
    <w:rsid w:val="00F138A8"/>
    <w:rsid w:val="00F1544F"/>
    <w:rsid w:val="00F15471"/>
    <w:rsid w:val="00F15D9C"/>
    <w:rsid w:val="00F1623B"/>
    <w:rsid w:val="00F16504"/>
    <w:rsid w:val="00F16B4A"/>
    <w:rsid w:val="00F17568"/>
    <w:rsid w:val="00F20775"/>
    <w:rsid w:val="00F2162F"/>
    <w:rsid w:val="00F22116"/>
    <w:rsid w:val="00F2555F"/>
    <w:rsid w:val="00F26412"/>
    <w:rsid w:val="00F264E3"/>
    <w:rsid w:val="00F26DCF"/>
    <w:rsid w:val="00F27E10"/>
    <w:rsid w:val="00F30C6B"/>
    <w:rsid w:val="00F320F6"/>
    <w:rsid w:val="00F34BE4"/>
    <w:rsid w:val="00F355C8"/>
    <w:rsid w:val="00F36242"/>
    <w:rsid w:val="00F362B2"/>
    <w:rsid w:val="00F37497"/>
    <w:rsid w:val="00F4077D"/>
    <w:rsid w:val="00F42063"/>
    <w:rsid w:val="00F42DE5"/>
    <w:rsid w:val="00F4397B"/>
    <w:rsid w:val="00F440E8"/>
    <w:rsid w:val="00F45C5D"/>
    <w:rsid w:val="00F4639D"/>
    <w:rsid w:val="00F465DD"/>
    <w:rsid w:val="00F4722A"/>
    <w:rsid w:val="00F51F30"/>
    <w:rsid w:val="00F52F85"/>
    <w:rsid w:val="00F60609"/>
    <w:rsid w:val="00F60ACE"/>
    <w:rsid w:val="00F60BB6"/>
    <w:rsid w:val="00F65146"/>
    <w:rsid w:val="00F65539"/>
    <w:rsid w:val="00F6573A"/>
    <w:rsid w:val="00F70294"/>
    <w:rsid w:val="00F71963"/>
    <w:rsid w:val="00F71C02"/>
    <w:rsid w:val="00F71CA6"/>
    <w:rsid w:val="00F72251"/>
    <w:rsid w:val="00F729EE"/>
    <w:rsid w:val="00F72EBC"/>
    <w:rsid w:val="00F74ADA"/>
    <w:rsid w:val="00F74E2C"/>
    <w:rsid w:val="00F7527D"/>
    <w:rsid w:val="00F7534E"/>
    <w:rsid w:val="00F77FAB"/>
    <w:rsid w:val="00F862BB"/>
    <w:rsid w:val="00F8681B"/>
    <w:rsid w:val="00F87945"/>
    <w:rsid w:val="00F9052A"/>
    <w:rsid w:val="00F912F6"/>
    <w:rsid w:val="00F926C9"/>
    <w:rsid w:val="00F92AC5"/>
    <w:rsid w:val="00F9309B"/>
    <w:rsid w:val="00F9353C"/>
    <w:rsid w:val="00F93A09"/>
    <w:rsid w:val="00F9450C"/>
    <w:rsid w:val="00F955EC"/>
    <w:rsid w:val="00F957B5"/>
    <w:rsid w:val="00FA2340"/>
    <w:rsid w:val="00FA5308"/>
    <w:rsid w:val="00FA5738"/>
    <w:rsid w:val="00FA5D88"/>
    <w:rsid w:val="00FA7C46"/>
    <w:rsid w:val="00FB0B9E"/>
    <w:rsid w:val="00FB0E28"/>
    <w:rsid w:val="00FB2241"/>
    <w:rsid w:val="00FB3952"/>
    <w:rsid w:val="00FB3AA7"/>
    <w:rsid w:val="00FB7104"/>
    <w:rsid w:val="00FC153B"/>
    <w:rsid w:val="00FC2D14"/>
    <w:rsid w:val="00FC5509"/>
    <w:rsid w:val="00FC6E90"/>
    <w:rsid w:val="00FD05ED"/>
    <w:rsid w:val="00FD09AF"/>
    <w:rsid w:val="00FD0AD4"/>
    <w:rsid w:val="00FD0FED"/>
    <w:rsid w:val="00FD1227"/>
    <w:rsid w:val="00FD172F"/>
    <w:rsid w:val="00FD21BE"/>
    <w:rsid w:val="00FD2420"/>
    <w:rsid w:val="00FD5785"/>
    <w:rsid w:val="00FD77C0"/>
    <w:rsid w:val="00FD7A53"/>
    <w:rsid w:val="00FD7D2C"/>
    <w:rsid w:val="00FE0115"/>
    <w:rsid w:val="00FE2393"/>
    <w:rsid w:val="00FE2F72"/>
    <w:rsid w:val="00FE3ED5"/>
    <w:rsid w:val="00FE7A3B"/>
    <w:rsid w:val="00FF06F5"/>
    <w:rsid w:val="00FF5668"/>
    <w:rsid w:val="00FF5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25ACE"/>
  <w15:docId w15:val="{908FA14D-748B-814B-91D5-EBFE6D67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E5505"/>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188F"/>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EE5505"/>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EE5505"/>
  </w:style>
  <w:style w:type="character" w:styleId="Hyperlink">
    <w:name w:val="Hyperlink"/>
    <w:basedOn w:val="DefaultParagraphFont"/>
    <w:uiPriority w:val="99"/>
    <w:unhideWhenUsed/>
    <w:rsid w:val="00EE5505"/>
    <w:rPr>
      <w:color w:val="0000FF"/>
      <w:u w:val="single"/>
    </w:rPr>
  </w:style>
  <w:style w:type="paragraph" w:styleId="EndnoteText">
    <w:name w:val="endnote text"/>
    <w:basedOn w:val="Normal"/>
    <w:link w:val="EndnoteTextChar"/>
    <w:uiPriority w:val="99"/>
    <w:unhideWhenUsed/>
    <w:rsid w:val="00EE5505"/>
    <w:rPr>
      <w:sz w:val="20"/>
      <w:szCs w:val="20"/>
    </w:rPr>
  </w:style>
  <w:style w:type="character" w:customStyle="1" w:styleId="EndnoteTextChar">
    <w:name w:val="Endnote Text Char"/>
    <w:basedOn w:val="DefaultParagraphFont"/>
    <w:link w:val="EndnoteText"/>
    <w:uiPriority w:val="99"/>
    <w:rsid w:val="00EE5505"/>
    <w:rPr>
      <w:sz w:val="20"/>
      <w:szCs w:val="20"/>
    </w:rPr>
  </w:style>
  <w:style w:type="character" w:styleId="EndnoteReference">
    <w:name w:val="endnote reference"/>
    <w:basedOn w:val="DefaultParagraphFont"/>
    <w:uiPriority w:val="99"/>
    <w:semiHidden/>
    <w:unhideWhenUsed/>
    <w:rsid w:val="00EE5505"/>
    <w:rPr>
      <w:vertAlign w:val="superscript"/>
    </w:rPr>
  </w:style>
  <w:style w:type="paragraph" w:customStyle="1" w:styleId="yiv2993738465msonormal">
    <w:name w:val="yiv2993738465msonormal"/>
    <w:basedOn w:val="Normal"/>
    <w:rsid w:val="00115AB4"/>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941B6B"/>
    <w:pPr>
      <w:tabs>
        <w:tab w:val="center" w:pos="4513"/>
        <w:tab w:val="right" w:pos="9026"/>
      </w:tabs>
    </w:pPr>
  </w:style>
  <w:style w:type="character" w:customStyle="1" w:styleId="FooterChar">
    <w:name w:val="Footer Char"/>
    <w:basedOn w:val="DefaultParagraphFont"/>
    <w:link w:val="Footer"/>
    <w:uiPriority w:val="99"/>
    <w:rsid w:val="00941B6B"/>
  </w:style>
  <w:style w:type="character" w:styleId="PageNumber">
    <w:name w:val="page number"/>
    <w:basedOn w:val="DefaultParagraphFont"/>
    <w:uiPriority w:val="99"/>
    <w:semiHidden/>
    <w:unhideWhenUsed/>
    <w:rsid w:val="00941B6B"/>
  </w:style>
  <w:style w:type="paragraph" w:styleId="FootnoteText">
    <w:name w:val="footnote text"/>
    <w:basedOn w:val="Normal"/>
    <w:link w:val="FootnoteTextChar"/>
    <w:uiPriority w:val="99"/>
    <w:semiHidden/>
    <w:unhideWhenUsed/>
    <w:rsid w:val="00E207F2"/>
    <w:rPr>
      <w:sz w:val="20"/>
      <w:szCs w:val="20"/>
    </w:rPr>
  </w:style>
  <w:style w:type="character" w:customStyle="1" w:styleId="FootnoteTextChar">
    <w:name w:val="Footnote Text Char"/>
    <w:basedOn w:val="DefaultParagraphFont"/>
    <w:link w:val="FootnoteText"/>
    <w:uiPriority w:val="99"/>
    <w:semiHidden/>
    <w:rsid w:val="00E207F2"/>
    <w:rPr>
      <w:sz w:val="20"/>
      <w:szCs w:val="20"/>
    </w:rPr>
  </w:style>
  <w:style w:type="character" w:styleId="FootnoteReference">
    <w:name w:val="footnote reference"/>
    <w:basedOn w:val="DefaultParagraphFont"/>
    <w:uiPriority w:val="99"/>
    <w:semiHidden/>
    <w:unhideWhenUsed/>
    <w:rsid w:val="00E207F2"/>
    <w:rPr>
      <w:vertAlign w:val="superscript"/>
    </w:rPr>
  </w:style>
  <w:style w:type="paragraph" w:styleId="Header">
    <w:name w:val="header"/>
    <w:basedOn w:val="Normal"/>
    <w:link w:val="HeaderChar"/>
    <w:uiPriority w:val="99"/>
    <w:unhideWhenUsed/>
    <w:rsid w:val="00B40B15"/>
    <w:pPr>
      <w:tabs>
        <w:tab w:val="center" w:pos="4513"/>
        <w:tab w:val="right" w:pos="9026"/>
      </w:tabs>
    </w:pPr>
  </w:style>
  <w:style w:type="character" w:customStyle="1" w:styleId="HeaderChar">
    <w:name w:val="Header Char"/>
    <w:basedOn w:val="DefaultParagraphFont"/>
    <w:link w:val="Header"/>
    <w:uiPriority w:val="99"/>
    <w:rsid w:val="00B40B15"/>
  </w:style>
  <w:style w:type="character" w:styleId="UnresolvedMention">
    <w:name w:val="Unresolved Mention"/>
    <w:basedOn w:val="DefaultParagraphFont"/>
    <w:uiPriority w:val="99"/>
    <w:rsid w:val="004B1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2346">
      <w:bodyDiv w:val="1"/>
      <w:marLeft w:val="0"/>
      <w:marRight w:val="0"/>
      <w:marTop w:val="0"/>
      <w:marBottom w:val="0"/>
      <w:divBdr>
        <w:top w:val="none" w:sz="0" w:space="0" w:color="auto"/>
        <w:left w:val="none" w:sz="0" w:space="0" w:color="auto"/>
        <w:bottom w:val="none" w:sz="0" w:space="0" w:color="auto"/>
        <w:right w:val="none" w:sz="0" w:space="0" w:color="auto"/>
      </w:divBdr>
      <w:divsChild>
        <w:div w:id="331373971">
          <w:marLeft w:val="0"/>
          <w:marRight w:val="0"/>
          <w:marTop w:val="0"/>
          <w:marBottom w:val="0"/>
          <w:divBdr>
            <w:top w:val="none" w:sz="0" w:space="0" w:color="auto"/>
            <w:left w:val="none" w:sz="0" w:space="0" w:color="auto"/>
            <w:bottom w:val="none" w:sz="0" w:space="0" w:color="auto"/>
            <w:right w:val="none" w:sz="0" w:space="0" w:color="auto"/>
          </w:divBdr>
          <w:divsChild>
            <w:div w:id="998460221">
              <w:marLeft w:val="0"/>
              <w:marRight w:val="0"/>
              <w:marTop w:val="0"/>
              <w:marBottom w:val="0"/>
              <w:divBdr>
                <w:top w:val="none" w:sz="0" w:space="0" w:color="auto"/>
                <w:left w:val="none" w:sz="0" w:space="0" w:color="auto"/>
                <w:bottom w:val="none" w:sz="0" w:space="0" w:color="auto"/>
                <w:right w:val="none" w:sz="0" w:space="0" w:color="auto"/>
              </w:divBdr>
              <w:divsChild>
                <w:div w:id="16476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77204">
      <w:bodyDiv w:val="1"/>
      <w:marLeft w:val="0"/>
      <w:marRight w:val="0"/>
      <w:marTop w:val="0"/>
      <w:marBottom w:val="0"/>
      <w:divBdr>
        <w:top w:val="none" w:sz="0" w:space="0" w:color="auto"/>
        <w:left w:val="none" w:sz="0" w:space="0" w:color="auto"/>
        <w:bottom w:val="none" w:sz="0" w:space="0" w:color="auto"/>
        <w:right w:val="none" w:sz="0" w:space="0" w:color="auto"/>
      </w:divBdr>
    </w:div>
    <w:div w:id="507870642">
      <w:bodyDiv w:val="1"/>
      <w:marLeft w:val="0"/>
      <w:marRight w:val="0"/>
      <w:marTop w:val="0"/>
      <w:marBottom w:val="0"/>
      <w:divBdr>
        <w:top w:val="none" w:sz="0" w:space="0" w:color="auto"/>
        <w:left w:val="none" w:sz="0" w:space="0" w:color="auto"/>
        <w:bottom w:val="none" w:sz="0" w:space="0" w:color="auto"/>
        <w:right w:val="none" w:sz="0" w:space="0" w:color="auto"/>
      </w:divBdr>
      <w:divsChild>
        <w:div w:id="1680347878">
          <w:marLeft w:val="0"/>
          <w:marRight w:val="0"/>
          <w:marTop w:val="0"/>
          <w:marBottom w:val="0"/>
          <w:divBdr>
            <w:top w:val="none" w:sz="0" w:space="0" w:color="auto"/>
            <w:left w:val="none" w:sz="0" w:space="0" w:color="auto"/>
            <w:bottom w:val="none" w:sz="0" w:space="0" w:color="auto"/>
            <w:right w:val="none" w:sz="0" w:space="0" w:color="auto"/>
          </w:divBdr>
          <w:divsChild>
            <w:div w:id="2133791851">
              <w:marLeft w:val="0"/>
              <w:marRight w:val="0"/>
              <w:marTop w:val="0"/>
              <w:marBottom w:val="0"/>
              <w:divBdr>
                <w:top w:val="none" w:sz="0" w:space="0" w:color="auto"/>
                <w:left w:val="none" w:sz="0" w:space="0" w:color="auto"/>
                <w:bottom w:val="none" w:sz="0" w:space="0" w:color="auto"/>
                <w:right w:val="none" w:sz="0" w:space="0" w:color="auto"/>
              </w:divBdr>
              <w:divsChild>
                <w:div w:id="3674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67241">
      <w:bodyDiv w:val="1"/>
      <w:marLeft w:val="0"/>
      <w:marRight w:val="0"/>
      <w:marTop w:val="0"/>
      <w:marBottom w:val="0"/>
      <w:divBdr>
        <w:top w:val="none" w:sz="0" w:space="0" w:color="auto"/>
        <w:left w:val="none" w:sz="0" w:space="0" w:color="auto"/>
        <w:bottom w:val="none" w:sz="0" w:space="0" w:color="auto"/>
        <w:right w:val="none" w:sz="0" w:space="0" w:color="auto"/>
      </w:divBdr>
      <w:divsChild>
        <w:div w:id="1885481120">
          <w:marLeft w:val="0"/>
          <w:marRight w:val="0"/>
          <w:marTop w:val="0"/>
          <w:marBottom w:val="0"/>
          <w:divBdr>
            <w:top w:val="none" w:sz="0" w:space="0" w:color="auto"/>
            <w:left w:val="none" w:sz="0" w:space="0" w:color="auto"/>
            <w:bottom w:val="none" w:sz="0" w:space="0" w:color="auto"/>
            <w:right w:val="none" w:sz="0" w:space="0" w:color="auto"/>
          </w:divBdr>
          <w:divsChild>
            <w:div w:id="1969045084">
              <w:marLeft w:val="0"/>
              <w:marRight w:val="0"/>
              <w:marTop w:val="0"/>
              <w:marBottom w:val="0"/>
              <w:divBdr>
                <w:top w:val="none" w:sz="0" w:space="0" w:color="auto"/>
                <w:left w:val="none" w:sz="0" w:space="0" w:color="auto"/>
                <w:bottom w:val="none" w:sz="0" w:space="0" w:color="auto"/>
                <w:right w:val="none" w:sz="0" w:space="0" w:color="auto"/>
              </w:divBdr>
              <w:divsChild>
                <w:div w:id="185087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8880">
      <w:bodyDiv w:val="1"/>
      <w:marLeft w:val="0"/>
      <w:marRight w:val="0"/>
      <w:marTop w:val="0"/>
      <w:marBottom w:val="0"/>
      <w:divBdr>
        <w:top w:val="none" w:sz="0" w:space="0" w:color="auto"/>
        <w:left w:val="none" w:sz="0" w:space="0" w:color="auto"/>
        <w:bottom w:val="none" w:sz="0" w:space="0" w:color="auto"/>
        <w:right w:val="none" w:sz="0" w:space="0" w:color="auto"/>
      </w:divBdr>
      <w:divsChild>
        <w:div w:id="498925585">
          <w:marLeft w:val="0"/>
          <w:marRight w:val="0"/>
          <w:marTop w:val="0"/>
          <w:marBottom w:val="0"/>
          <w:divBdr>
            <w:top w:val="none" w:sz="0" w:space="0" w:color="auto"/>
            <w:left w:val="none" w:sz="0" w:space="0" w:color="auto"/>
            <w:bottom w:val="none" w:sz="0" w:space="0" w:color="auto"/>
            <w:right w:val="none" w:sz="0" w:space="0" w:color="auto"/>
          </w:divBdr>
        </w:div>
      </w:divsChild>
    </w:div>
    <w:div w:id="662977424">
      <w:bodyDiv w:val="1"/>
      <w:marLeft w:val="0"/>
      <w:marRight w:val="0"/>
      <w:marTop w:val="0"/>
      <w:marBottom w:val="0"/>
      <w:divBdr>
        <w:top w:val="none" w:sz="0" w:space="0" w:color="auto"/>
        <w:left w:val="none" w:sz="0" w:space="0" w:color="auto"/>
        <w:bottom w:val="none" w:sz="0" w:space="0" w:color="auto"/>
        <w:right w:val="none" w:sz="0" w:space="0" w:color="auto"/>
      </w:divBdr>
      <w:divsChild>
        <w:div w:id="863054038">
          <w:marLeft w:val="0"/>
          <w:marRight w:val="0"/>
          <w:marTop w:val="0"/>
          <w:marBottom w:val="0"/>
          <w:divBdr>
            <w:top w:val="none" w:sz="0" w:space="0" w:color="auto"/>
            <w:left w:val="none" w:sz="0" w:space="0" w:color="auto"/>
            <w:bottom w:val="none" w:sz="0" w:space="0" w:color="auto"/>
            <w:right w:val="none" w:sz="0" w:space="0" w:color="auto"/>
          </w:divBdr>
          <w:divsChild>
            <w:div w:id="388308402">
              <w:marLeft w:val="0"/>
              <w:marRight w:val="0"/>
              <w:marTop w:val="0"/>
              <w:marBottom w:val="0"/>
              <w:divBdr>
                <w:top w:val="none" w:sz="0" w:space="0" w:color="auto"/>
                <w:left w:val="none" w:sz="0" w:space="0" w:color="auto"/>
                <w:bottom w:val="none" w:sz="0" w:space="0" w:color="auto"/>
                <w:right w:val="none" w:sz="0" w:space="0" w:color="auto"/>
              </w:divBdr>
              <w:divsChild>
                <w:div w:id="65996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121">
      <w:bodyDiv w:val="1"/>
      <w:marLeft w:val="0"/>
      <w:marRight w:val="0"/>
      <w:marTop w:val="0"/>
      <w:marBottom w:val="0"/>
      <w:divBdr>
        <w:top w:val="none" w:sz="0" w:space="0" w:color="auto"/>
        <w:left w:val="none" w:sz="0" w:space="0" w:color="auto"/>
        <w:bottom w:val="none" w:sz="0" w:space="0" w:color="auto"/>
        <w:right w:val="none" w:sz="0" w:space="0" w:color="auto"/>
      </w:divBdr>
      <w:divsChild>
        <w:div w:id="394741579">
          <w:marLeft w:val="0"/>
          <w:marRight w:val="0"/>
          <w:marTop w:val="0"/>
          <w:marBottom w:val="0"/>
          <w:divBdr>
            <w:top w:val="none" w:sz="0" w:space="0" w:color="auto"/>
            <w:left w:val="none" w:sz="0" w:space="0" w:color="auto"/>
            <w:bottom w:val="none" w:sz="0" w:space="0" w:color="auto"/>
            <w:right w:val="none" w:sz="0" w:space="0" w:color="auto"/>
          </w:divBdr>
          <w:divsChild>
            <w:div w:id="613169003">
              <w:marLeft w:val="0"/>
              <w:marRight w:val="0"/>
              <w:marTop w:val="0"/>
              <w:marBottom w:val="0"/>
              <w:divBdr>
                <w:top w:val="none" w:sz="0" w:space="0" w:color="auto"/>
                <w:left w:val="none" w:sz="0" w:space="0" w:color="auto"/>
                <w:bottom w:val="none" w:sz="0" w:space="0" w:color="auto"/>
                <w:right w:val="none" w:sz="0" w:space="0" w:color="auto"/>
              </w:divBdr>
              <w:divsChild>
                <w:div w:id="361830002">
                  <w:marLeft w:val="0"/>
                  <w:marRight w:val="0"/>
                  <w:marTop w:val="0"/>
                  <w:marBottom w:val="0"/>
                  <w:divBdr>
                    <w:top w:val="none" w:sz="0" w:space="0" w:color="auto"/>
                    <w:left w:val="none" w:sz="0" w:space="0" w:color="auto"/>
                    <w:bottom w:val="none" w:sz="0" w:space="0" w:color="auto"/>
                    <w:right w:val="none" w:sz="0" w:space="0" w:color="auto"/>
                  </w:divBdr>
                  <w:divsChild>
                    <w:div w:id="14282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9232">
      <w:bodyDiv w:val="1"/>
      <w:marLeft w:val="0"/>
      <w:marRight w:val="0"/>
      <w:marTop w:val="0"/>
      <w:marBottom w:val="0"/>
      <w:divBdr>
        <w:top w:val="none" w:sz="0" w:space="0" w:color="auto"/>
        <w:left w:val="none" w:sz="0" w:space="0" w:color="auto"/>
        <w:bottom w:val="none" w:sz="0" w:space="0" w:color="auto"/>
        <w:right w:val="none" w:sz="0" w:space="0" w:color="auto"/>
      </w:divBdr>
      <w:divsChild>
        <w:div w:id="253515533">
          <w:marLeft w:val="0"/>
          <w:marRight w:val="0"/>
          <w:marTop w:val="0"/>
          <w:marBottom w:val="0"/>
          <w:divBdr>
            <w:top w:val="none" w:sz="0" w:space="0" w:color="auto"/>
            <w:left w:val="none" w:sz="0" w:space="0" w:color="auto"/>
            <w:bottom w:val="none" w:sz="0" w:space="0" w:color="auto"/>
            <w:right w:val="none" w:sz="0" w:space="0" w:color="auto"/>
          </w:divBdr>
          <w:divsChild>
            <w:div w:id="662314517">
              <w:marLeft w:val="0"/>
              <w:marRight w:val="0"/>
              <w:marTop w:val="0"/>
              <w:marBottom w:val="0"/>
              <w:divBdr>
                <w:top w:val="none" w:sz="0" w:space="0" w:color="auto"/>
                <w:left w:val="none" w:sz="0" w:space="0" w:color="auto"/>
                <w:bottom w:val="none" w:sz="0" w:space="0" w:color="auto"/>
                <w:right w:val="none" w:sz="0" w:space="0" w:color="auto"/>
              </w:divBdr>
              <w:divsChild>
                <w:div w:id="19838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04662">
      <w:bodyDiv w:val="1"/>
      <w:marLeft w:val="0"/>
      <w:marRight w:val="0"/>
      <w:marTop w:val="0"/>
      <w:marBottom w:val="0"/>
      <w:divBdr>
        <w:top w:val="none" w:sz="0" w:space="0" w:color="auto"/>
        <w:left w:val="none" w:sz="0" w:space="0" w:color="auto"/>
        <w:bottom w:val="none" w:sz="0" w:space="0" w:color="auto"/>
        <w:right w:val="none" w:sz="0" w:space="0" w:color="auto"/>
      </w:divBdr>
      <w:divsChild>
        <w:div w:id="938291828">
          <w:marLeft w:val="0"/>
          <w:marRight w:val="0"/>
          <w:marTop w:val="0"/>
          <w:marBottom w:val="0"/>
          <w:divBdr>
            <w:top w:val="none" w:sz="0" w:space="0" w:color="auto"/>
            <w:left w:val="none" w:sz="0" w:space="0" w:color="auto"/>
            <w:bottom w:val="none" w:sz="0" w:space="0" w:color="auto"/>
            <w:right w:val="none" w:sz="0" w:space="0" w:color="auto"/>
          </w:divBdr>
          <w:divsChild>
            <w:div w:id="1306592094">
              <w:marLeft w:val="0"/>
              <w:marRight w:val="0"/>
              <w:marTop w:val="0"/>
              <w:marBottom w:val="0"/>
              <w:divBdr>
                <w:top w:val="none" w:sz="0" w:space="0" w:color="auto"/>
                <w:left w:val="none" w:sz="0" w:space="0" w:color="auto"/>
                <w:bottom w:val="none" w:sz="0" w:space="0" w:color="auto"/>
                <w:right w:val="none" w:sz="0" w:space="0" w:color="auto"/>
              </w:divBdr>
              <w:divsChild>
                <w:div w:id="1584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42930">
      <w:bodyDiv w:val="1"/>
      <w:marLeft w:val="0"/>
      <w:marRight w:val="0"/>
      <w:marTop w:val="0"/>
      <w:marBottom w:val="0"/>
      <w:divBdr>
        <w:top w:val="none" w:sz="0" w:space="0" w:color="auto"/>
        <w:left w:val="none" w:sz="0" w:space="0" w:color="auto"/>
        <w:bottom w:val="none" w:sz="0" w:space="0" w:color="auto"/>
        <w:right w:val="none" w:sz="0" w:space="0" w:color="auto"/>
      </w:divBdr>
    </w:div>
    <w:div w:id="1019887737">
      <w:bodyDiv w:val="1"/>
      <w:marLeft w:val="0"/>
      <w:marRight w:val="0"/>
      <w:marTop w:val="0"/>
      <w:marBottom w:val="0"/>
      <w:divBdr>
        <w:top w:val="none" w:sz="0" w:space="0" w:color="auto"/>
        <w:left w:val="none" w:sz="0" w:space="0" w:color="auto"/>
        <w:bottom w:val="none" w:sz="0" w:space="0" w:color="auto"/>
        <w:right w:val="none" w:sz="0" w:space="0" w:color="auto"/>
      </w:divBdr>
      <w:divsChild>
        <w:div w:id="1386760365">
          <w:marLeft w:val="0"/>
          <w:marRight w:val="0"/>
          <w:marTop w:val="0"/>
          <w:marBottom w:val="0"/>
          <w:divBdr>
            <w:top w:val="none" w:sz="0" w:space="0" w:color="auto"/>
            <w:left w:val="none" w:sz="0" w:space="0" w:color="auto"/>
            <w:bottom w:val="none" w:sz="0" w:space="0" w:color="auto"/>
            <w:right w:val="none" w:sz="0" w:space="0" w:color="auto"/>
          </w:divBdr>
          <w:divsChild>
            <w:div w:id="548300362">
              <w:marLeft w:val="0"/>
              <w:marRight w:val="0"/>
              <w:marTop w:val="0"/>
              <w:marBottom w:val="0"/>
              <w:divBdr>
                <w:top w:val="none" w:sz="0" w:space="0" w:color="auto"/>
                <w:left w:val="none" w:sz="0" w:space="0" w:color="auto"/>
                <w:bottom w:val="none" w:sz="0" w:space="0" w:color="auto"/>
                <w:right w:val="none" w:sz="0" w:space="0" w:color="auto"/>
              </w:divBdr>
              <w:divsChild>
                <w:div w:id="8243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50412">
      <w:bodyDiv w:val="1"/>
      <w:marLeft w:val="0"/>
      <w:marRight w:val="0"/>
      <w:marTop w:val="0"/>
      <w:marBottom w:val="0"/>
      <w:divBdr>
        <w:top w:val="none" w:sz="0" w:space="0" w:color="auto"/>
        <w:left w:val="none" w:sz="0" w:space="0" w:color="auto"/>
        <w:bottom w:val="none" w:sz="0" w:space="0" w:color="auto"/>
        <w:right w:val="none" w:sz="0" w:space="0" w:color="auto"/>
      </w:divBdr>
      <w:divsChild>
        <w:div w:id="2081097113">
          <w:marLeft w:val="0"/>
          <w:marRight w:val="0"/>
          <w:marTop w:val="0"/>
          <w:marBottom w:val="0"/>
          <w:divBdr>
            <w:top w:val="none" w:sz="0" w:space="0" w:color="auto"/>
            <w:left w:val="none" w:sz="0" w:space="0" w:color="auto"/>
            <w:bottom w:val="none" w:sz="0" w:space="0" w:color="auto"/>
            <w:right w:val="none" w:sz="0" w:space="0" w:color="auto"/>
          </w:divBdr>
          <w:divsChild>
            <w:div w:id="1665352004">
              <w:marLeft w:val="0"/>
              <w:marRight w:val="0"/>
              <w:marTop w:val="0"/>
              <w:marBottom w:val="0"/>
              <w:divBdr>
                <w:top w:val="none" w:sz="0" w:space="0" w:color="auto"/>
                <w:left w:val="none" w:sz="0" w:space="0" w:color="auto"/>
                <w:bottom w:val="none" w:sz="0" w:space="0" w:color="auto"/>
                <w:right w:val="none" w:sz="0" w:space="0" w:color="auto"/>
              </w:divBdr>
              <w:divsChild>
                <w:div w:id="162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78414">
      <w:bodyDiv w:val="1"/>
      <w:marLeft w:val="0"/>
      <w:marRight w:val="0"/>
      <w:marTop w:val="0"/>
      <w:marBottom w:val="0"/>
      <w:divBdr>
        <w:top w:val="none" w:sz="0" w:space="0" w:color="auto"/>
        <w:left w:val="none" w:sz="0" w:space="0" w:color="auto"/>
        <w:bottom w:val="none" w:sz="0" w:space="0" w:color="auto"/>
        <w:right w:val="none" w:sz="0" w:space="0" w:color="auto"/>
      </w:divBdr>
      <w:divsChild>
        <w:div w:id="1024746968">
          <w:marLeft w:val="0"/>
          <w:marRight w:val="0"/>
          <w:marTop w:val="0"/>
          <w:marBottom w:val="0"/>
          <w:divBdr>
            <w:top w:val="none" w:sz="0" w:space="0" w:color="auto"/>
            <w:left w:val="none" w:sz="0" w:space="0" w:color="auto"/>
            <w:bottom w:val="none" w:sz="0" w:space="0" w:color="auto"/>
            <w:right w:val="none" w:sz="0" w:space="0" w:color="auto"/>
          </w:divBdr>
          <w:divsChild>
            <w:div w:id="1628462498">
              <w:marLeft w:val="0"/>
              <w:marRight w:val="0"/>
              <w:marTop w:val="0"/>
              <w:marBottom w:val="0"/>
              <w:divBdr>
                <w:top w:val="none" w:sz="0" w:space="0" w:color="auto"/>
                <w:left w:val="none" w:sz="0" w:space="0" w:color="auto"/>
                <w:bottom w:val="none" w:sz="0" w:space="0" w:color="auto"/>
                <w:right w:val="none" w:sz="0" w:space="0" w:color="auto"/>
              </w:divBdr>
              <w:divsChild>
                <w:div w:id="18371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1206">
      <w:bodyDiv w:val="1"/>
      <w:marLeft w:val="0"/>
      <w:marRight w:val="0"/>
      <w:marTop w:val="0"/>
      <w:marBottom w:val="0"/>
      <w:divBdr>
        <w:top w:val="none" w:sz="0" w:space="0" w:color="auto"/>
        <w:left w:val="none" w:sz="0" w:space="0" w:color="auto"/>
        <w:bottom w:val="none" w:sz="0" w:space="0" w:color="auto"/>
        <w:right w:val="none" w:sz="0" w:space="0" w:color="auto"/>
      </w:divBdr>
      <w:divsChild>
        <w:div w:id="1026757975">
          <w:marLeft w:val="0"/>
          <w:marRight w:val="0"/>
          <w:marTop w:val="0"/>
          <w:marBottom w:val="0"/>
          <w:divBdr>
            <w:top w:val="none" w:sz="0" w:space="0" w:color="auto"/>
            <w:left w:val="none" w:sz="0" w:space="0" w:color="auto"/>
            <w:bottom w:val="none" w:sz="0" w:space="0" w:color="auto"/>
            <w:right w:val="none" w:sz="0" w:space="0" w:color="auto"/>
          </w:divBdr>
        </w:div>
      </w:divsChild>
    </w:div>
    <w:div w:id="1268777264">
      <w:bodyDiv w:val="1"/>
      <w:marLeft w:val="0"/>
      <w:marRight w:val="0"/>
      <w:marTop w:val="0"/>
      <w:marBottom w:val="0"/>
      <w:divBdr>
        <w:top w:val="none" w:sz="0" w:space="0" w:color="auto"/>
        <w:left w:val="none" w:sz="0" w:space="0" w:color="auto"/>
        <w:bottom w:val="none" w:sz="0" w:space="0" w:color="auto"/>
        <w:right w:val="none" w:sz="0" w:space="0" w:color="auto"/>
      </w:divBdr>
      <w:divsChild>
        <w:div w:id="1410348094">
          <w:marLeft w:val="547"/>
          <w:marRight w:val="0"/>
          <w:marTop w:val="154"/>
          <w:marBottom w:val="0"/>
          <w:divBdr>
            <w:top w:val="none" w:sz="0" w:space="0" w:color="auto"/>
            <w:left w:val="none" w:sz="0" w:space="0" w:color="auto"/>
            <w:bottom w:val="none" w:sz="0" w:space="0" w:color="auto"/>
            <w:right w:val="none" w:sz="0" w:space="0" w:color="auto"/>
          </w:divBdr>
        </w:div>
      </w:divsChild>
    </w:div>
    <w:div w:id="1341931949">
      <w:bodyDiv w:val="1"/>
      <w:marLeft w:val="0"/>
      <w:marRight w:val="0"/>
      <w:marTop w:val="0"/>
      <w:marBottom w:val="0"/>
      <w:divBdr>
        <w:top w:val="none" w:sz="0" w:space="0" w:color="auto"/>
        <w:left w:val="none" w:sz="0" w:space="0" w:color="auto"/>
        <w:bottom w:val="none" w:sz="0" w:space="0" w:color="auto"/>
        <w:right w:val="none" w:sz="0" w:space="0" w:color="auto"/>
      </w:divBdr>
      <w:divsChild>
        <w:div w:id="86775878">
          <w:marLeft w:val="0"/>
          <w:marRight w:val="0"/>
          <w:marTop w:val="0"/>
          <w:marBottom w:val="0"/>
          <w:divBdr>
            <w:top w:val="none" w:sz="0" w:space="0" w:color="auto"/>
            <w:left w:val="none" w:sz="0" w:space="0" w:color="auto"/>
            <w:bottom w:val="none" w:sz="0" w:space="0" w:color="auto"/>
            <w:right w:val="none" w:sz="0" w:space="0" w:color="auto"/>
          </w:divBdr>
          <w:divsChild>
            <w:div w:id="858356504">
              <w:marLeft w:val="0"/>
              <w:marRight w:val="0"/>
              <w:marTop w:val="0"/>
              <w:marBottom w:val="0"/>
              <w:divBdr>
                <w:top w:val="none" w:sz="0" w:space="0" w:color="auto"/>
                <w:left w:val="none" w:sz="0" w:space="0" w:color="auto"/>
                <w:bottom w:val="none" w:sz="0" w:space="0" w:color="auto"/>
                <w:right w:val="none" w:sz="0" w:space="0" w:color="auto"/>
              </w:divBdr>
              <w:divsChild>
                <w:div w:id="17904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15898">
      <w:bodyDiv w:val="1"/>
      <w:marLeft w:val="0"/>
      <w:marRight w:val="0"/>
      <w:marTop w:val="0"/>
      <w:marBottom w:val="0"/>
      <w:divBdr>
        <w:top w:val="none" w:sz="0" w:space="0" w:color="auto"/>
        <w:left w:val="none" w:sz="0" w:space="0" w:color="auto"/>
        <w:bottom w:val="none" w:sz="0" w:space="0" w:color="auto"/>
        <w:right w:val="none" w:sz="0" w:space="0" w:color="auto"/>
      </w:divBdr>
      <w:divsChild>
        <w:div w:id="135924178">
          <w:marLeft w:val="0"/>
          <w:marRight w:val="0"/>
          <w:marTop w:val="0"/>
          <w:marBottom w:val="0"/>
          <w:divBdr>
            <w:top w:val="none" w:sz="0" w:space="0" w:color="auto"/>
            <w:left w:val="none" w:sz="0" w:space="0" w:color="auto"/>
            <w:bottom w:val="none" w:sz="0" w:space="0" w:color="auto"/>
            <w:right w:val="none" w:sz="0" w:space="0" w:color="auto"/>
          </w:divBdr>
          <w:divsChild>
            <w:div w:id="293143896">
              <w:marLeft w:val="0"/>
              <w:marRight w:val="0"/>
              <w:marTop w:val="0"/>
              <w:marBottom w:val="0"/>
              <w:divBdr>
                <w:top w:val="none" w:sz="0" w:space="0" w:color="auto"/>
                <w:left w:val="none" w:sz="0" w:space="0" w:color="auto"/>
                <w:bottom w:val="none" w:sz="0" w:space="0" w:color="auto"/>
                <w:right w:val="none" w:sz="0" w:space="0" w:color="auto"/>
              </w:divBdr>
              <w:divsChild>
                <w:div w:id="5265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45304">
      <w:bodyDiv w:val="1"/>
      <w:marLeft w:val="0"/>
      <w:marRight w:val="0"/>
      <w:marTop w:val="0"/>
      <w:marBottom w:val="0"/>
      <w:divBdr>
        <w:top w:val="none" w:sz="0" w:space="0" w:color="auto"/>
        <w:left w:val="none" w:sz="0" w:space="0" w:color="auto"/>
        <w:bottom w:val="none" w:sz="0" w:space="0" w:color="auto"/>
        <w:right w:val="none" w:sz="0" w:space="0" w:color="auto"/>
      </w:divBdr>
    </w:div>
    <w:div w:id="1694568895">
      <w:bodyDiv w:val="1"/>
      <w:marLeft w:val="0"/>
      <w:marRight w:val="0"/>
      <w:marTop w:val="0"/>
      <w:marBottom w:val="0"/>
      <w:divBdr>
        <w:top w:val="none" w:sz="0" w:space="0" w:color="auto"/>
        <w:left w:val="none" w:sz="0" w:space="0" w:color="auto"/>
        <w:bottom w:val="none" w:sz="0" w:space="0" w:color="auto"/>
        <w:right w:val="none" w:sz="0" w:space="0" w:color="auto"/>
      </w:divBdr>
      <w:divsChild>
        <w:div w:id="1415662566">
          <w:marLeft w:val="0"/>
          <w:marRight w:val="0"/>
          <w:marTop w:val="0"/>
          <w:marBottom w:val="0"/>
          <w:divBdr>
            <w:top w:val="none" w:sz="0" w:space="0" w:color="auto"/>
            <w:left w:val="none" w:sz="0" w:space="0" w:color="auto"/>
            <w:bottom w:val="none" w:sz="0" w:space="0" w:color="auto"/>
            <w:right w:val="none" w:sz="0" w:space="0" w:color="auto"/>
          </w:divBdr>
          <w:divsChild>
            <w:div w:id="942109586">
              <w:marLeft w:val="0"/>
              <w:marRight w:val="0"/>
              <w:marTop w:val="0"/>
              <w:marBottom w:val="0"/>
              <w:divBdr>
                <w:top w:val="none" w:sz="0" w:space="0" w:color="auto"/>
                <w:left w:val="none" w:sz="0" w:space="0" w:color="auto"/>
                <w:bottom w:val="none" w:sz="0" w:space="0" w:color="auto"/>
                <w:right w:val="none" w:sz="0" w:space="0" w:color="auto"/>
              </w:divBdr>
              <w:divsChild>
                <w:div w:id="194256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9230">
      <w:bodyDiv w:val="1"/>
      <w:marLeft w:val="0"/>
      <w:marRight w:val="0"/>
      <w:marTop w:val="0"/>
      <w:marBottom w:val="0"/>
      <w:divBdr>
        <w:top w:val="none" w:sz="0" w:space="0" w:color="auto"/>
        <w:left w:val="none" w:sz="0" w:space="0" w:color="auto"/>
        <w:bottom w:val="none" w:sz="0" w:space="0" w:color="auto"/>
        <w:right w:val="none" w:sz="0" w:space="0" w:color="auto"/>
      </w:divBdr>
      <w:divsChild>
        <w:div w:id="1960917322">
          <w:marLeft w:val="0"/>
          <w:marRight w:val="0"/>
          <w:marTop w:val="0"/>
          <w:marBottom w:val="0"/>
          <w:divBdr>
            <w:top w:val="none" w:sz="0" w:space="0" w:color="auto"/>
            <w:left w:val="none" w:sz="0" w:space="0" w:color="auto"/>
            <w:bottom w:val="none" w:sz="0" w:space="0" w:color="auto"/>
            <w:right w:val="none" w:sz="0" w:space="0" w:color="auto"/>
          </w:divBdr>
          <w:divsChild>
            <w:div w:id="136194321">
              <w:marLeft w:val="0"/>
              <w:marRight w:val="0"/>
              <w:marTop w:val="0"/>
              <w:marBottom w:val="0"/>
              <w:divBdr>
                <w:top w:val="none" w:sz="0" w:space="0" w:color="auto"/>
                <w:left w:val="none" w:sz="0" w:space="0" w:color="auto"/>
                <w:bottom w:val="none" w:sz="0" w:space="0" w:color="auto"/>
                <w:right w:val="none" w:sz="0" w:space="0" w:color="auto"/>
              </w:divBdr>
              <w:divsChild>
                <w:div w:id="7397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69209">
      <w:bodyDiv w:val="1"/>
      <w:marLeft w:val="0"/>
      <w:marRight w:val="0"/>
      <w:marTop w:val="0"/>
      <w:marBottom w:val="0"/>
      <w:divBdr>
        <w:top w:val="none" w:sz="0" w:space="0" w:color="auto"/>
        <w:left w:val="none" w:sz="0" w:space="0" w:color="auto"/>
        <w:bottom w:val="none" w:sz="0" w:space="0" w:color="auto"/>
        <w:right w:val="none" w:sz="0" w:space="0" w:color="auto"/>
      </w:divBdr>
      <w:divsChild>
        <w:div w:id="1928608124">
          <w:marLeft w:val="0"/>
          <w:marRight w:val="0"/>
          <w:marTop w:val="0"/>
          <w:marBottom w:val="0"/>
          <w:divBdr>
            <w:top w:val="none" w:sz="0" w:space="0" w:color="auto"/>
            <w:left w:val="none" w:sz="0" w:space="0" w:color="auto"/>
            <w:bottom w:val="none" w:sz="0" w:space="0" w:color="auto"/>
            <w:right w:val="none" w:sz="0" w:space="0" w:color="auto"/>
          </w:divBdr>
          <w:divsChild>
            <w:div w:id="260262350">
              <w:marLeft w:val="0"/>
              <w:marRight w:val="0"/>
              <w:marTop w:val="0"/>
              <w:marBottom w:val="0"/>
              <w:divBdr>
                <w:top w:val="none" w:sz="0" w:space="0" w:color="auto"/>
                <w:left w:val="none" w:sz="0" w:space="0" w:color="auto"/>
                <w:bottom w:val="none" w:sz="0" w:space="0" w:color="auto"/>
                <w:right w:val="none" w:sz="0" w:space="0" w:color="auto"/>
              </w:divBdr>
              <w:divsChild>
                <w:div w:id="3755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8709">
      <w:bodyDiv w:val="1"/>
      <w:marLeft w:val="0"/>
      <w:marRight w:val="0"/>
      <w:marTop w:val="0"/>
      <w:marBottom w:val="0"/>
      <w:divBdr>
        <w:top w:val="none" w:sz="0" w:space="0" w:color="auto"/>
        <w:left w:val="none" w:sz="0" w:space="0" w:color="auto"/>
        <w:bottom w:val="none" w:sz="0" w:space="0" w:color="auto"/>
        <w:right w:val="none" w:sz="0" w:space="0" w:color="auto"/>
      </w:divBdr>
      <w:divsChild>
        <w:div w:id="905988571">
          <w:marLeft w:val="0"/>
          <w:marRight w:val="0"/>
          <w:marTop w:val="0"/>
          <w:marBottom w:val="0"/>
          <w:divBdr>
            <w:top w:val="none" w:sz="0" w:space="0" w:color="auto"/>
            <w:left w:val="none" w:sz="0" w:space="0" w:color="auto"/>
            <w:bottom w:val="none" w:sz="0" w:space="0" w:color="auto"/>
            <w:right w:val="none" w:sz="0" w:space="0" w:color="auto"/>
          </w:divBdr>
          <w:divsChild>
            <w:div w:id="1165971256">
              <w:marLeft w:val="0"/>
              <w:marRight w:val="0"/>
              <w:marTop w:val="0"/>
              <w:marBottom w:val="0"/>
              <w:divBdr>
                <w:top w:val="none" w:sz="0" w:space="0" w:color="auto"/>
                <w:left w:val="none" w:sz="0" w:space="0" w:color="auto"/>
                <w:bottom w:val="none" w:sz="0" w:space="0" w:color="auto"/>
                <w:right w:val="none" w:sz="0" w:space="0" w:color="auto"/>
              </w:divBdr>
              <w:divsChild>
                <w:div w:id="454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8385">
      <w:bodyDiv w:val="1"/>
      <w:marLeft w:val="0"/>
      <w:marRight w:val="0"/>
      <w:marTop w:val="0"/>
      <w:marBottom w:val="0"/>
      <w:divBdr>
        <w:top w:val="none" w:sz="0" w:space="0" w:color="auto"/>
        <w:left w:val="none" w:sz="0" w:space="0" w:color="auto"/>
        <w:bottom w:val="none" w:sz="0" w:space="0" w:color="auto"/>
        <w:right w:val="none" w:sz="0" w:space="0" w:color="auto"/>
      </w:divBdr>
      <w:divsChild>
        <w:div w:id="680816434">
          <w:marLeft w:val="0"/>
          <w:marRight w:val="0"/>
          <w:marTop w:val="0"/>
          <w:marBottom w:val="0"/>
          <w:divBdr>
            <w:top w:val="none" w:sz="0" w:space="0" w:color="auto"/>
            <w:left w:val="none" w:sz="0" w:space="0" w:color="auto"/>
            <w:bottom w:val="none" w:sz="0" w:space="0" w:color="auto"/>
            <w:right w:val="none" w:sz="0" w:space="0" w:color="auto"/>
          </w:divBdr>
          <w:divsChild>
            <w:div w:id="1713571972">
              <w:marLeft w:val="0"/>
              <w:marRight w:val="0"/>
              <w:marTop w:val="0"/>
              <w:marBottom w:val="0"/>
              <w:divBdr>
                <w:top w:val="none" w:sz="0" w:space="0" w:color="auto"/>
                <w:left w:val="none" w:sz="0" w:space="0" w:color="auto"/>
                <w:bottom w:val="none" w:sz="0" w:space="0" w:color="auto"/>
                <w:right w:val="none" w:sz="0" w:space="0" w:color="auto"/>
              </w:divBdr>
              <w:divsChild>
                <w:div w:id="1992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6877">
      <w:bodyDiv w:val="1"/>
      <w:marLeft w:val="0"/>
      <w:marRight w:val="0"/>
      <w:marTop w:val="0"/>
      <w:marBottom w:val="0"/>
      <w:divBdr>
        <w:top w:val="none" w:sz="0" w:space="0" w:color="auto"/>
        <w:left w:val="none" w:sz="0" w:space="0" w:color="auto"/>
        <w:bottom w:val="none" w:sz="0" w:space="0" w:color="auto"/>
        <w:right w:val="none" w:sz="0" w:space="0" w:color="auto"/>
      </w:divBdr>
      <w:divsChild>
        <w:div w:id="692613561">
          <w:marLeft w:val="0"/>
          <w:marRight w:val="0"/>
          <w:marTop w:val="0"/>
          <w:marBottom w:val="0"/>
          <w:divBdr>
            <w:top w:val="none" w:sz="0" w:space="0" w:color="auto"/>
            <w:left w:val="none" w:sz="0" w:space="0" w:color="auto"/>
            <w:bottom w:val="none" w:sz="0" w:space="0" w:color="auto"/>
            <w:right w:val="none" w:sz="0" w:space="0" w:color="auto"/>
          </w:divBdr>
        </w:div>
      </w:divsChild>
    </w:div>
    <w:div w:id="1864661602">
      <w:bodyDiv w:val="1"/>
      <w:marLeft w:val="0"/>
      <w:marRight w:val="0"/>
      <w:marTop w:val="0"/>
      <w:marBottom w:val="0"/>
      <w:divBdr>
        <w:top w:val="none" w:sz="0" w:space="0" w:color="auto"/>
        <w:left w:val="none" w:sz="0" w:space="0" w:color="auto"/>
        <w:bottom w:val="none" w:sz="0" w:space="0" w:color="auto"/>
        <w:right w:val="none" w:sz="0" w:space="0" w:color="auto"/>
      </w:divBdr>
      <w:divsChild>
        <w:div w:id="598218876">
          <w:marLeft w:val="0"/>
          <w:marRight w:val="0"/>
          <w:marTop w:val="0"/>
          <w:marBottom w:val="0"/>
          <w:divBdr>
            <w:top w:val="none" w:sz="0" w:space="0" w:color="auto"/>
            <w:left w:val="none" w:sz="0" w:space="0" w:color="auto"/>
            <w:bottom w:val="none" w:sz="0" w:space="0" w:color="auto"/>
            <w:right w:val="none" w:sz="0" w:space="0" w:color="auto"/>
          </w:divBdr>
          <w:divsChild>
            <w:div w:id="627710281">
              <w:marLeft w:val="0"/>
              <w:marRight w:val="0"/>
              <w:marTop w:val="0"/>
              <w:marBottom w:val="0"/>
              <w:divBdr>
                <w:top w:val="none" w:sz="0" w:space="0" w:color="auto"/>
                <w:left w:val="none" w:sz="0" w:space="0" w:color="auto"/>
                <w:bottom w:val="none" w:sz="0" w:space="0" w:color="auto"/>
                <w:right w:val="none" w:sz="0" w:space="0" w:color="auto"/>
              </w:divBdr>
              <w:divsChild>
                <w:div w:id="1902981067">
                  <w:marLeft w:val="0"/>
                  <w:marRight w:val="0"/>
                  <w:marTop w:val="0"/>
                  <w:marBottom w:val="0"/>
                  <w:divBdr>
                    <w:top w:val="none" w:sz="0" w:space="0" w:color="auto"/>
                    <w:left w:val="none" w:sz="0" w:space="0" w:color="auto"/>
                    <w:bottom w:val="none" w:sz="0" w:space="0" w:color="auto"/>
                    <w:right w:val="none" w:sz="0" w:space="0" w:color="auto"/>
                  </w:divBdr>
                </w:div>
              </w:divsChild>
            </w:div>
            <w:div w:id="1987204205">
              <w:marLeft w:val="0"/>
              <w:marRight w:val="0"/>
              <w:marTop w:val="0"/>
              <w:marBottom w:val="0"/>
              <w:divBdr>
                <w:top w:val="none" w:sz="0" w:space="0" w:color="auto"/>
                <w:left w:val="none" w:sz="0" w:space="0" w:color="auto"/>
                <w:bottom w:val="none" w:sz="0" w:space="0" w:color="auto"/>
                <w:right w:val="none" w:sz="0" w:space="0" w:color="auto"/>
              </w:divBdr>
              <w:divsChild>
                <w:div w:id="635600688">
                  <w:marLeft w:val="0"/>
                  <w:marRight w:val="0"/>
                  <w:marTop w:val="0"/>
                  <w:marBottom w:val="0"/>
                  <w:divBdr>
                    <w:top w:val="none" w:sz="0" w:space="0" w:color="auto"/>
                    <w:left w:val="none" w:sz="0" w:space="0" w:color="auto"/>
                    <w:bottom w:val="none" w:sz="0" w:space="0" w:color="auto"/>
                    <w:right w:val="none" w:sz="0" w:space="0" w:color="auto"/>
                  </w:divBdr>
                </w:div>
                <w:div w:id="1814828323">
                  <w:marLeft w:val="0"/>
                  <w:marRight w:val="0"/>
                  <w:marTop w:val="0"/>
                  <w:marBottom w:val="0"/>
                  <w:divBdr>
                    <w:top w:val="none" w:sz="0" w:space="0" w:color="auto"/>
                    <w:left w:val="none" w:sz="0" w:space="0" w:color="auto"/>
                    <w:bottom w:val="none" w:sz="0" w:space="0" w:color="auto"/>
                    <w:right w:val="none" w:sz="0" w:space="0" w:color="auto"/>
                  </w:divBdr>
                </w:div>
                <w:div w:id="20506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1762">
          <w:marLeft w:val="0"/>
          <w:marRight w:val="0"/>
          <w:marTop w:val="0"/>
          <w:marBottom w:val="0"/>
          <w:divBdr>
            <w:top w:val="none" w:sz="0" w:space="0" w:color="auto"/>
            <w:left w:val="none" w:sz="0" w:space="0" w:color="auto"/>
            <w:bottom w:val="none" w:sz="0" w:space="0" w:color="auto"/>
            <w:right w:val="none" w:sz="0" w:space="0" w:color="auto"/>
          </w:divBdr>
        </w:div>
        <w:div w:id="2083797354">
          <w:marLeft w:val="0"/>
          <w:marRight w:val="0"/>
          <w:marTop w:val="0"/>
          <w:marBottom w:val="0"/>
          <w:divBdr>
            <w:top w:val="none" w:sz="0" w:space="0" w:color="auto"/>
            <w:left w:val="none" w:sz="0" w:space="0" w:color="auto"/>
            <w:bottom w:val="none" w:sz="0" w:space="0" w:color="auto"/>
            <w:right w:val="none" w:sz="0" w:space="0" w:color="auto"/>
          </w:divBdr>
        </w:div>
      </w:divsChild>
    </w:div>
    <w:div w:id="1887182975">
      <w:bodyDiv w:val="1"/>
      <w:marLeft w:val="0"/>
      <w:marRight w:val="0"/>
      <w:marTop w:val="0"/>
      <w:marBottom w:val="0"/>
      <w:divBdr>
        <w:top w:val="none" w:sz="0" w:space="0" w:color="auto"/>
        <w:left w:val="none" w:sz="0" w:space="0" w:color="auto"/>
        <w:bottom w:val="none" w:sz="0" w:space="0" w:color="auto"/>
        <w:right w:val="none" w:sz="0" w:space="0" w:color="auto"/>
      </w:divBdr>
      <w:divsChild>
        <w:div w:id="268121071">
          <w:marLeft w:val="0"/>
          <w:marRight w:val="0"/>
          <w:marTop w:val="0"/>
          <w:marBottom w:val="0"/>
          <w:divBdr>
            <w:top w:val="none" w:sz="0" w:space="0" w:color="auto"/>
            <w:left w:val="none" w:sz="0" w:space="0" w:color="auto"/>
            <w:bottom w:val="none" w:sz="0" w:space="0" w:color="auto"/>
            <w:right w:val="none" w:sz="0" w:space="0" w:color="auto"/>
          </w:divBdr>
          <w:divsChild>
            <w:div w:id="1153720280">
              <w:marLeft w:val="0"/>
              <w:marRight w:val="0"/>
              <w:marTop w:val="0"/>
              <w:marBottom w:val="0"/>
              <w:divBdr>
                <w:top w:val="none" w:sz="0" w:space="0" w:color="auto"/>
                <w:left w:val="none" w:sz="0" w:space="0" w:color="auto"/>
                <w:bottom w:val="none" w:sz="0" w:space="0" w:color="auto"/>
                <w:right w:val="none" w:sz="0" w:space="0" w:color="auto"/>
              </w:divBdr>
              <w:divsChild>
                <w:div w:id="16406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7183">
      <w:bodyDiv w:val="1"/>
      <w:marLeft w:val="0"/>
      <w:marRight w:val="0"/>
      <w:marTop w:val="0"/>
      <w:marBottom w:val="0"/>
      <w:divBdr>
        <w:top w:val="none" w:sz="0" w:space="0" w:color="auto"/>
        <w:left w:val="none" w:sz="0" w:space="0" w:color="auto"/>
        <w:bottom w:val="none" w:sz="0" w:space="0" w:color="auto"/>
        <w:right w:val="none" w:sz="0" w:space="0" w:color="auto"/>
      </w:divBdr>
      <w:divsChild>
        <w:div w:id="1814786923">
          <w:marLeft w:val="0"/>
          <w:marRight w:val="0"/>
          <w:marTop w:val="0"/>
          <w:marBottom w:val="0"/>
          <w:divBdr>
            <w:top w:val="none" w:sz="0" w:space="0" w:color="auto"/>
            <w:left w:val="none" w:sz="0" w:space="0" w:color="auto"/>
            <w:bottom w:val="none" w:sz="0" w:space="0" w:color="auto"/>
            <w:right w:val="none" w:sz="0" w:space="0" w:color="auto"/>
          </w:divBdr>
          <w:divsChild>
            <w:div w:id="1750931073">
              <w:marLeft w:val="0"/>
              <w:marRight w:val="0"/>
              <w:marTop w:val="0"/>
              <w:marBottom w:val="0"/>
              <w:divBdr>
                <w:top w:val="none" w:sz="0" w:space="0" w:color="auto"/>
                <w:left w:val="none" w:sz="0" w:space="0" w:color="auto"/>
                <w:bottom w:val="none" w:sz="0" w:space="0" w:color="auto"/>
                <w:right w:val="none" w:sz="0" w:space="0" w:color="auto"/>
              </w:divBdr>
              <w:divsChild>
                <w:div w:id="4811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73060">
      <w:bodyDiv w:val="1"/>
      <w:marLeft w:val="0"/>
      <w:marRight w:val="0"/>
      <w:marTop w:val="0"/>
      <w:marBottom w:val="0"/>
      <w:divBdr>
        <w:top w:val="none" w:sz="0" w:space="0" w:color="auto"/>
        <w:left w:val="none" w:sz="0" w:space="0" w:color="auto"/>
        <w:bottom w:val="none" w:sz="0" w:space="0" w:color="auto"/>
        <w:right w:val="none" w:sz="0" w:space="0" w:color="auto"/>
      </w:divBdr>
      <w:divsChild>
        <w:div w:id="639960518">
          <w:marLeft w:val="0"/>
          <w:marRight w:val="0"/>
          <w:marTop w:val="0"/>
          <w:marBottom w:val="0"/>
          <w:divBdr>
            <w:top w:val="none" w:sz="0" w:space="0" w:color="auto"/>
            <w:left w:val="none" w:sz="0" w:space="0" w:color="auto"/>
            <w:bottom w:val="none" w:sz="0" w:space="0" w:color="auto"/>
            <w:right w:val="none" w:sz="0" w:space="0" w:color="auto"/>
          </w:divBdr>
          <w:divsChild>
            <w:div w:id="1444810450">
              <w:marLeft w:val="0"/>
              <w:marRight w:val="0"/>
              <w:marTop w:val="0"/>
              <w:marBottom w:val="0"/>
              <w:divBdr>
                <w:top w:val="none" w:sz="0" w:space="0" w:color="auto"/>
                <w:left w:val="none" w:sz="0" w:space="0" w:color="auto"/>
                <w:bottom w:val="none" w:sz="0" w:space="0" w:color="auto"/>
                <w:right w:val="none" w:sz="0" w:space="0" w:color="auto"/>
              </w:divBdr>
              <w:divsChild>
                <w:div w:id="8601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endnotes.xml.rels><?xml version="1.0" encoding="UTF-8" standalone="yes"?>
<Relationships xmlns="http://schemas.openxmlformats.org/package/2006/relationships"><Relationship Id="rId2" Type="http://schemas.openxmlformats.org/officeDocument/2006/relationships/hyperlink" Target="https://www.jstor.org/stable/i231747" TargetMode="External"/><Relationship Id="rId1" Type="http://schemas.openxmlformats.org/officeDocument/2006/relationships/hyperlink" Target="https://www.bloomsbury.com/uk/reportage-illustration-9781350031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a0dab69-fa39-4efe-b79e-a885390218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1D904D198F704FB9CE7D34DC5C4FED" ma:contentTypeVersion="18" ma:contentTypeDescription="Create a new document." ma:contentTypeScope="" ma:versionID="1d518f0352723b366da92c339fe493d6">
  <xsd:schema xmlns:xsd="http://www.w3.org/2001/XMLSchema" xmlns:xs="http://www.w3.org/2001/XMLSchema" xmlns:p="http://schemas.microsoft.com/office/2006/metadata/properties" xmlns:ns3="da0dab69-fa39-4efe-b79e-a88539021846" xmlns:ns4="d29b8e79-09b6-4989-91db-f7732b8706ca" targetNamespace="http://schemas.microsoft.com/office/2006/metadata/properties" ma:root="true" ma:fieldsID="1cfef7def5ea18f1c81698f6691d3e64" ns3:_="" ns4:_="">
    <xsd:import namespace="da0dab69-fa39-4efe-b79e-a88539021846"/>
    <xsd:import namespace="d29b8e79-09b6-4989-91db-f7732b8706c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dab69-fa39-4efe-b79e-a88539021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9b8e79-09b6-4989-91db-f7732b8706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2CEE-7AB7-4197-BA0F-6DBD23ECC766}">
  <ds:schemaRefs>
    <ds:schemaRef ds:uri="http://schemas.microsoft.com/office/2006/metadata/properties"/>
    <ds:schemaRef ds:uri="http://schemas.microsoft.com/office/infopath/2007/PartnerControls"/>
    <ds:schemaRef ds:uri="da0dab69-fa39-4efe-b79e-a88539021846"/>
  </ds:schemaRefs>
</ds:datastoreItem>
</file>

<file path=customXml/itemProps2.xml><?xml version="1.0" encoding="utf-8"?>
<ds:datastoreItem xmlns:ds="http://schemas.openxmlformats.org/officeDocument/2006/customXml" ds:itemID="{44BA5CA9-0E58-4AE7-BA80-DAF414C4C8E9}">
  <ds:schemaRefs>
    <ds:schemaRef ds:uri="http://schemas.microsoft.com/sharepoint/v3/contenttype/forms"/>
  </ds:schemaRefs>
</ds:datastoreItem>
</file>

<file path=customXml/itemProps3.xml><?xml version="1.0" encoding="utf-8"?>
<ds:datastoreItem xmlns:ds="http://schemas.openxmlformats.org/officeDocument/2006/customXml" ds:itemID="{F45107E3-1BA9-4D75-BB9F-FD599FC7E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dab69-fa39-4efe-b79e-a88539021846"/>
    <ds:schemaRef ds:uri="d29b8e79-09b6-4989-91db-f7732b870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02BC7-FD8D-5C4D-B638-4CDE3D81D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5510</Words>
  <Characters>31410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Shapiro</dc:creator>
  <cp:keywords/>
  <dc:description/>
  <cp:lastModifiedBy>Nicola Bond</cp:lastModifiedBy>
  <cp:revision>7</cp:revision>
  <dcterms:created xsi:type="dcterms:W3CDTF">2024-03-18T16:06:00Z</dcterms:created>
  <dcterms:modified xsi:type="dcterms:W3CDTF">2024-03-27T11:50:00Z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1,8,9</vt:lpwstr>
  </property>
  <property fmtid="{D5CDD505-2E9C-101B-9397-08002B2CF9AE}" pid="3" name="ClassificationContentMarkingHeaderFontProps">
    <vt:lpwstr>#ff8c00,11,Calibri</vt:lpwstr>
  </property>
  <property fmtid="{D5CDD505-2E9C-101B-9397-08002B2CF9AE}" pid="4" name="ClassificationContentMarkingHeaderText">
    <vt:lpwstr>RESTRICTED</vt:lpwstr>
  </property>
  <property fmtid="{D5CDD505-2E9C-101B-9397-08002B2CF9AE}" pid="5" name="ClassificationContentMarkingFooterShapeIds">
    <vt:lpwstr>a,b,c</vt:lpwstr>
  </property>
  <property fmtid="{D5CDD505-2E9C-101B-9397-08002B2CF9AE}" pid="6" name="ClassificationContentMarkingFooterFontProps">
    <vt:lpwstr>#ff8c00,11,Calibri</vt:lpwstr>
  </property>
  <property fmtid="{D5CDD505-2E9C-101B-9397-08002B2CF9AE}" pid="7" name="ClassificationContentMarkingFooterText">
    <vt:lpwstr>RESTRICTED</vt:lpwstr>
  </property>
  <property fmtid="{D5CDD505-2E9C-101B-9397-08002B2CF9AE}" pid="8" name="MSIP_Label_57c33bae-76e0-44b3-baa3-351f99b93dbd_Enabled">
    <vt:lpwstr>true</vt:lpwstr>
  </property>
  <property fmtid="{D5CDD505-2E9C-101B-9397-08002B2CF9AE}" pid="9" name="MSIP_Label_57c33bae-76e0-44b3-baa3-351f99b93dbd_SetDate">
    <vt:lpwstr>2023-08-04T11:07:40Z</vt:lpwstr>
  </property>
  <property fmtid="{D5CDD505-2E9C-101B-9397-08002B2CF9AE}" pid="10" name="MSIP_Label_57c33bae-76e0-44b3-baa3-351f99b93dbd_Method">
    <vt:lpwstr>Standard</vt:lpwstr>
  </property>
  <property fmtid="{D5CDD505-2E9C-101B-9397-08002B2CF9AE}" pid="11" name="MSIP_Label_57c33bae-76e0-44b3-baa3-351f99b93dbd_Name">
    <vt:lpwstr>Restricted</vt:lpwstr>
  </property>
  <property fmtid="{D5CDD505-2E9C-101B-9397-08002B2CF9AE}" pid="12" name="MSIP_Label_57c33bae-76e0-44b3-baa3-351f99b93dbd_SiteId">
    <vt:lpwstr>550beeb3-6a3d-4646-a111-f89d0177792e</vt:lpwstr>
  </property>
  <property fmtid="{D5CDD505-2E9C-101B-9397-08002B2CF9AE}" pid="13" name="MSIP_Label_57c33bae-76e0-44b3-baa3-351f99b93dbd_ActionId">
    <vt:lpwstr>3240708a-b917-4e21-9a0e-d7e051657302</vt:lpwstr>
  </property>
  <property fmtid="{D5CDD505-2E9C-101B-9397-08002B2CF9AE}" pid="14" name="MSIP_Label_57c33bae-76e0-44b3-baa3-351f99b93dbd_ContentBits">
    <vt:lpwstr>3</vt:lpwstr>
  </property>
  <property fmtid="{D5CDD505-2E9C-101B-9397-08002B2CF9AE}" pid="15" name="ContentTypeId">
    <vt:lpwstr>0x010100521D904D198F704FB9CE7D34DC5C4FED</vt:lpwstr>
  </property>
</Properties>
</file>