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88E2" w14:textId="2B6C7369" w:rsidR="002604A8" w:rsidRDefault="00EE4425" w:rsidP="00F11A35">
      <w:pPr>
        <w:pStyle w:val="Heading1"/>
        <w:rPr>
          <w:color w:val="auto"/>
          <w:sz w:val="28"/>
          <w:szCs w:val="28"/>
        </w:rPr>
      </w:pPr>
      <w:r w:rsidRPr="00F11A35">
        <w:rPr>
          <w:color w:val="auto"/>
          <w:sz w:val="28"/>
          <w:szCs w:val="28"/>
        </w:rPr>
        <w:t xml:space="preserve">Wearable Airbags: Investigating </w:t>
      </w:r>
      <w:r w:rsidR="00240FB9" w:rsidRPr="00F11A35">
        <w:rPr>
          <w:color w:val="auto"/>
          <w:sz w:val="28"/>
          <w:szCs w:val="28"/>
        </w:rPr>
        <w:t>Attitudes Towards Inflatable Hip Protectors</w:t>
      </w:r>
    </w:p>
    <w:p w14:paraId="224FE77D" w14:textId="77777777" w:rsidR="00F11A35" w:rsidRPr="00F11A35" w:rsidRDefault="00F11A35" w:rsidP="00F11A35"/>
    <w:p w14:paraId="0A6FC8E9" w14:textId="363A3C3A" w:rsidR="00D121DB" w:rsidRPr="00396F41" w:rsidRDefault="00270139" w:rsidP="00D121DB">
      <w:r>
        <w:t>This paper</w:t>
      </w:r>
      <w:r w:rsidR="00B73494">
        <w:t xml:space="preserve"> </w:t>
      </w:r>
      <w:r w:rsidR="00D455DD">
        <w:t>explores</w:t>
      </w:r>
      <w:r w:rsidR="00B73494">
        <w:t xml:space="preserve"> new technologies </w:t>
      </w:r>
      <w:r w:rsidR="001858EE">
        <w:t>applied to</w:t>
      </w:r>
      <w:r w:rsidR="00DC769E">
        <w:t xml:space="preserve"> hip protector</w:t>
      </w:r>
      <w:r w:rsidR="00276D25">
        <w:t xml:space="preserve"> (HP)</w:t>
      </w:r>
      <w:r w:rsidR="00DC769E">
        <w:t xml:space="preserve"> garments </w:t>
      </w:r>
      <w:r w:rsidR="00A46D90">
        <w:t>worn by people a</w:t>
      </w:r>
      <w:r w:rsidR="00742A25">
        <w:t>t risk of falls to</w:t>
      </w:r>
      <w:r w:rsidR="00DC769E">
        <w:t xml:space="preserve"> reduce the risk of </w:t>
      </w:r>
      <w:r w:rsidR="00DB73CE">
        <w:t xml:space="preserve">hip fractures. The research </w:t>
      </w:r>
      <w:r w:rsidR="0057366C">
        <w:t>relates to</w:t>
      </w:r>
      <w:r w:rsidR="00742A25">
        <w:t xml:space="preserve"> a practice-based PhD investigati</w:t>
      </w:r>
      <w:r w:rsidR="004A08FB">
        <w:t>ng ways</w:t>
      </w:r>
      <w:r w:rsidR="00010112">
        <w:t xml:space="preserve"> to develop </w:t>
      </w:r>
      <w:r w:rsidR="00EC00D8">
        <w:t xml:space="preserve">more effective </w:t>
      </w:r>
      <w:r w:rsidR="00276D25">
        <w:t>HP</w:t>
      </w:r>
      <w:r w:rsidR="00EC00D8">
        <w:t xml:space="preserve"> products, especially for women who are most at risk of</w:t>
      </w:r>
      <w:r w:rsidR="00335E3C">
        <w:t xml:space="preserve"> fracturing a hip</w:t>
      </w:r>
      <w:r w:rsidR="00C54EAA">
        <w:t xml:space="preserve"> </w:t>
      </w:r>
      <w:r w:rsidR="00C2081F">
        <w:fldChar w:fldCharType="begin"/>
      </w:r>
      <w:r w:rsidR="00C2081F">
        <w:instrText xml:space="preserve"> ADDIN ZOTERO_ITEM CSL_CITATION {"citationID":"MoYsZEtp","properties":{"formattedCitation":"(Stevens 2005)","plainCitation":"(Stevens 2005)","noteIndex":0},"citationItems":[{"id":524,"uris":["http://zotero.org/users/4391491/items/6ATTV62F"],"itemData":{"id":524,"type":"article-journal","abstract":"OBJECTIVES: To quantify gender differences for non-fatal unintentional fall related injuries among US adults age 65 years and older treated in hospital emergency departments (EDs). METHODS: The authors analyzed data from a nationally representative sample of ED visits for January 2001 through December 2001, available through the National Electronic Injury Surveillance System All Injury Program (NEISS-AIP). For each initial ED visit, coders record one principal diagnosis (usually the most severe) and one primary part of the body affected. RESULTS: Based on 22 560 cases, an estimated 1.64 million older adults were treated in EDs for unintentional fall injuries. Of these, approximately 1.16 million, or 70.5%, were women. Fractures, contusions/abrasions, and lacerations accounted for more than three quarters of all injuries. Rates for injury diagnoses were generally higher among women, most notably for fractures which were 2.2 times higher than for men. For all parts of the body, women's injury rates exceeded those of men. Rate ratios were greatest for injuries of the leg/foot (2.3), arm/hand (2.0), and lower trunk (2.0). The hospitalization rate for women was 1.8 times that for men. CONCLUSIONS: Among older adults, non-fatal fall related injuries disproportionately affected women. Much is known about effective fall prevention strategies. We need to refine, promote, and implement these interventions. Additional research is needed to tailor interventions for different populations and to determine gender differences in the underlying causes and/or circumstances of falls. This information is vital for developing and implementing targeted fall prevention strategies.","container-title":"Injury Prevention","DOI":"10.1136/ip.2004.005835","ISSN":"1353-8047","issue":"2","language":"English","page":"115-119","source":"falmouth.primo.exlibrisgroup.com","title":"Gender Differences for Non-Fatal Unintentional Fall Related Injuries Among Older Adults","volume":"11","author":[{"family":"Stevens","given":"J. A."}],"issued":{"date-parts":[["2005"]]}}}],"schema":"https://github.com/citation-style-language/schema/raw/master/csl-citation.json"} </w:instrText>
      </w:r>
      <w:r w:rsidR="00C2081F">
        <w:fldChar w:fldCharType="separate"/>
      </w:r>
      <w:r w:rsidR="006552EC" w:rsidRPr="006552EC">
        <w:rPr>
          <w:rFonts w:ascii="Calibri" w:hAnsi="Calibri" w:cs="Calibri"/>
        </w:rPr>
        <w:t>(Stevens 2005)</w:t>
      </w:r>
      <w:r w:rsidR="00C2081F">
        <w:fldChar w:fldCharType="end"/>
      </w:r>
      <w:r w:rsidR="00335E3C">
        <w:t xml:space="preserve">. </w:t>
      </w:r>
      <w:r w:rsidR="008E3DAC" w:rsidRPr="0064080A">
        <w:t xml:space="preserve">Hip fractures </w:t>
      </w:r>
      <w:r w:rsidR="00D121DB">
        <w:t xml:space="preserve">can have a devastating impact on </w:t>
      </w:r>
      <w:r w:rsidR="00132044">
        <w:t>people’s</w:t>
      </w:r>
      <w:r w:rsidR="00D121DB">
        <w:t xml:space="preserve"> lives </w:t>
      </w:r>
      <w:r w:rsidR="004217F6">
        <w:t>and</w:t>
      </w:r>
      <w:r w:rsidR="00D121DB">
        <w:t xml:space="preserve"> lead to a rapid decline in health </w:t>
      </w:r>
      <w:r w:rsidR="0064139F">
        <w:t>and increased dependency</w:t>
      </w:r>
      <w:r w:rsidR="00D121DB">
        <w:t>, especially</w:t>
      </w:r>
      <w:r w:rsidR="00D121DB" w:rsidRPr="0064080A">
        <w:t xml:space="preserve"> for older people</w:t>
      </w:r>
      <w:r w:rsidR="00AA204B">
        <w:t xml:space="preserve"> </w:t>
      </w:r>
      <w:r w:rsidR="00AA204B">
        <w:fldChar w:fldCharType="begin"/>
      </w:r>
      <w:r w:rsidR="00AA204B">
        <w:instrText xml:space="preserve"> ADDIN ZOTERO_ITEM CSL_CITATION {"citationID":"Bsi5Jo5n","properties":{"formattedCitation":"(Royal College of Physicians 2018)","plainCitation":"(Royal College of Physicians 2018)","noteIndex":0},"citationItems":[{"id":534,"uris":["http://zotero.org/users/4391491/items/YWNGS3QP"],"itemData":{"id":534,"type":"report","event-place":"London","language":"en","page":"32","publisher":"RCP","publisher-place":"London","source":"Zotero","title":"National Hip Fracture Database annual report 2018","author":[{"literal":"Royal College of Physicians"}],"issued":{"date-parts":[["2018"]]}}}],"schema":"https://github.com/citation-style-language/schema/raw/master/csl-citation.json"} </w:instrText>
      </w:r>
      <w:r w:rsidR="00AA204B">
        <w:fldChar w:fldCharType="separate"/>
      </w:r>
      <w:r w:rsidR="006552EC" w:rsidRPr="006552EC">
        <w:rPr>
          <w:rFonts w:ascii="Calibri" w:hAnsi="Calibri" w:cs="Calibri"/>
        </w:rPr>
        <w:t>(Royal College of Physicians 2018)</w:t>
      </w:r>
      <w:r w:rsidR="00AA204B">
        <w:fldChar w:fldCharType="end"/>
      </w:r>
      <w:r w:rsidR="00D121DB" w:rsidRPr="0064080A">
        <w:t>.</w:t>
      </w:r>
      <w:r w:rsidR="00D121DB">
        <w:t xml:space="preserve"> Over 3.5 million people living with </w:t>
      </w:r>
      <w:r w:rsidR="00D121DB" w:rsidRPr="009F0FEF">
        <w:t>osteoporosis</w:t>
      </w:r>
      <w:r w:rsidR="00D121DB">
        <w:t xml:space="preserve"> in the UK</w:t>
      </w:r>
      <w:r w:rsidR="00D121DB" w:rsidRPr="009F0FEF">
        <w:t xml:space="preserve">, </w:t>
      </w:r>
      <w:r w:rsidR="00D121DB" w:rsidRPr="009F0FEF">
        <w:rPr>
          <w:rFonts w:cstheme="minorHAnsi"/>
        </w:rPr>
        <w:t>a</w:t>
      </w:r>
      <w:r w:rsidR="00D121DB" w:rsidRPr="00DD0508">
        <w:rPr>
          <w:rFonts w:cstheme="minorHAnsi"/>
        </w:rPr>
        <w:t xml:space="preserve"> disease that causes low bone mass and deterioration of bone tissue,</w:t>
      </w:r>
      <w:r w:rsidR="00D121DB">
        <w:rPr>
          <w:rFonts w:cstheme="minorHAnsi"/>
        </w:rPr>
        <w:t xml:space="preserve"> </w:t>
      </w:r>
      <w:r w:rsidR="00D121DB" w:rsidRPr="00DD0508">
        <w:rPr>
          <w:rFonts w:cstheme="minorHAnsi"/>
        </w:rPr>
        <w:t>are at higher risk of fragility fractures</w:t>
      </w:r>
      <w:r w:rsidR="00D64B6A">
        <w:rPr>
          <w:rFonts w:cstheme="minorHAnsi"/>
        </w:rPr>
        <w:t>,</w:t>
      </w:r>
      <w:r w:rsidR="00D121DB">
        <w:rPr>
          <w:rFonts w:cstheme="minorHAnsi"/>
        </w:rPr>
        <w:t xml:space="preserve"> including hip fractures</w:t>
      </w:r>
      <w:r w:rsidR="00D121DB" w:rsidRPr="00DD0508">
        <w:rPr>
          <w:rFonts w:cstheme="minorHAnsi"/>
        </w:rPr>
        <w:t xml:space="preserve"> </w:t>
      </w:r>
      <w:r w:rsidR="00D121DB" w:rsidRPr="00DD0508">
        <w:rPr>
          <w:rFonts w:cstheme="minorHAnsi"/>
        </w:rPr>
        <w:fldChar w:fldCharType="begin"/>
      </w:r>
      <w:r w:rsidR="00D121DB" w:rsidRPr="00DD0508">
        <w:rPr>
          <w:rFonts w:cstheme="minorHAnsi"/>
        </w:rPr>
        <w:instrText xml:space="preserve"> ADDIN ZOTERO_ITEM CSL_CITATION {"citationID":"AF6jMrbm","properties":{"formattedCitation":"(NICE 2017)","plainCitation":"(NICE 2017)","noteIndex":0},"citationItems":[{"id":26,"uris":["http://zotero.org/users/4391491/items/ZKWPHNLJ",["http://zotero.org/users/4391491/items/ZKWPHNLJ"]],"itemData":{"id":26,"type":"webpage","abstract":"This guideline covers assessing the risk of fragility fracture in people aged 18 and over with osteoporosis. It aims to provide guidance on the selection and","language":"eng","note":"publisher: NICE","title":"Osteoporosis: assessing the risk of fragility fracture","title-short":"Introduction | Osteoporosis","URL":"https://www.nice.org.uk/guidance/cg146/chapter/Introduction","author":[{"literal":"NICE"}],"accessed":{"date-parts":[["2022",1,24]]},"issued":{"date-parts":[["2017",7,2]]}}}],"schema":"https://github.com/citation-style-language/schema/raw/master/csl-citation.json"} </w:instrText>
      </w:r>
      <w:r w:rsidR="00D121DB" w:rsidRPr="00DD0508">
        <w:rPr>
          <w:rFonts w:cstheme="minorHAnsi"/>
        </w:rPr>
        <w:fldChar w:fldCharType="separate"/>
      </w:r>
      <w:r w:rsidR="006552EC" w:rsidRPr="006552EC">
        <w:rPr>
          <w:rFonts w:ascii="Calibri" w:hAnsi="Calibri" w:cs="Calibri"/>
        </w:rPr>
        <w:t>(NICE 2017)</w:t>
      </w:r>
      <w:r w:rsidR="00D121DB" w:rsidRPr="00DD0508">
        <w:rPr>
          <w:rFonts w:cstheme="minorHAnsi"/>
        </w:rPr>
        <w:fldChar w:fldCharType="end"/>
      </w:r>
      <w:r w:rsidR="00D121DB" w:rsidRPr="00DD0508">
        <w:rPr>
          <w:rFonts w:cstheme="minorHAnsi"/>
        </w:rPr>
        <w:t>.</w:t>
      </w:r>
      <w:r w:rsidR="00D121DB">
        <w:rPr>
          <w:rFonts w:cstheme="minorHAnsi"/>
        </w:rPr>
        <w:t xml:space="preserve"> Indeed, o</w:t>
      </w:r>
      <w:r w:rsidR="00D121DB" w:rsidRPr="00D966F5">
        <w:rPr>
          <w:rFonts w:cstheme="minorHAnsi"/>
        </w:rPr>
        <w:t xml:space="preserve">ne in two women over 50 will break a bone because of </w:t>
      </w:r>
      <w:r w:rsidR="00D121DB">
        <w:rPr>
          <w:rFonts w:cstheme="minorHAnsi"/>
        </w:rPr>
        <w:t xml:space="preserve">the condition </w:t>
      </w:r>
      <w:r w:rsidR="00D121DB">
        <w:rPr>
          <w:rFonts w:cstheme="minorHAnsi"/>
        </w:rPr>
        <w:fldChar w:fldCharType="begin"/>
      </w:r>
      <w:r w:rsidR="00D121DB">
        <w:rPr>
          <w:rFonts w:cstheme="minorHAnsi"/>
        </w:rPr>
        <w:instrText xml:space="preserve"> ADDIN ZOTERO_ITEM CSL_CITATION {"citationID":"ek8kBVcf","properties":{"formattedCitation":"(Royal Osteoporosis Society 2022)","plainCitation":"(Royal Osteoporosis Society 2022)","noteIndex":0},"citationItems":[{"id":1439,"uris":["http://zotero.org/users/4391491/items/ZAR328RF"],"itemData":{"id":1439,"type":"webpage","abstract":"Women’s Health Strategy needs to go big on osteoporosis emergency affecting one in two women over 50. The Royal Osteoporosis Society","language":"en","title":"Women’s Health Strategy needs to go big on osteoporosis emergency","URL":"https://theros.org.uk/latest-news/women-s-health-strategy-needs-to-go-big-on-osteoporosis-emergency-affecting-one-in-two-women-over-50/","author":[{"literal":"Royal Osteoporosis Society"}],"accessed":{"date-parts":[["2023",10,9]]},"issued":{"date-parts":[["2022",7,20]]}}}],"schema":"https://github.com/citation-style-language/schema/raw/master/csl-citation.json"} </w:instrText>
      </w:r>
      <w:r w:rsidR="00D121DB">
        <w:rPr>
          <w:rFonts w:cstheme="minorHAnsi"/>
        </w:rPr>
        <w:fldChar w:fldCharType="separate"/>
      </w:r>
      <w:r w:rsidR="006552EC" w:rsidRPr="006552EC">
        <w:rPr>
          <w:rFonts w:ascii="Calibri" w:hAnsi="Calibri" w:cs="Calibri"/>
        </w:rPr>
        <w:t>(Royal Osteoporosis Society 2022)</w:t>
      </w:r>
      <w:r w:rsidR="00D121DB">
        <w:rPr>
          <w:rFonts w:cstheme="minorHAnsi"/>
        </w:rPr>
        <w:fldChar w:fldCharType="end"/>
      </w:r>
      <w:r w:rsidR="00D121DB" w:rsidRPr="00D966F5">
        <w:rPr>
          <w:rFonts w:cstheme="minorHAnsi"/>
        </w:rPr>
        <w:t>.</w:t>
      </w:r>
    </w:p>
    <w:p w14:paraId="7E42552D" w14:textId="773CA014" w:rsidR="00D121DB" w:rsidRDefault="00276D25" w:rsidP="00D121DB">
      <w:pPr>
        <w:rPr>
          <w:rFonts w:cstheme="minorHAnsi"/>
          <w:color w:val="000000"/>
          <w:shd w:val="clear" w:color="auto" w:fill="FFFFFF"/>
        </w:rPr>
      </w:pPr>
      <w:r>
        <w:rPr>
          <w:rFonts w:cstheme="minorHAnsi"/>
        </w:rPr>
        <w:t>HP</w:t>
      </w:r>
      <w:r w:rsidR="00D121DB">
        <w:rPr>
          <w:rFonts w:cstheme="minorHAnsi"/>
        </w:rPr>
        <w:t xml:space="preserve"> garments, consisting of underwear with protective pads positioned over the hip joints, </w:t>
      </w:r>
      <w:r w:rsidR="00A1378B">
        <w:rPr>
          <w:rFonts w:cstheme="minorHAnsi"/>
        </w:rPr>
        <w:t>are designed to</w:t>
      </w:r>
      <w:r w:rsidR="005F3453">
        <w:rPr>
          <w:rFonts w:cstheme="minorHAnsi"/>
        </w:rPr>
        <w:t xml:space="preserve"> reduce</w:t>
      </w:r>
      <w:r w:rsidR="00D1201D">
        <w:rPr>
          <w:rFonts w:cstheme="minorHAnsi"/>
        </w:rPr>
        <w:t xml:space="preserve"> the</w:t>
      </w:r>
      <w:r w:rsidR="005F3453">
        <w:rPr>
          <w:rFonts w:cstheme="minorHAnsi"/>
        </w:rPr>
        <w:t xml:space="preserve"> risk of</w:t>
      </w:r>
      <w:r w:rsidR="00A1378B">
        <w:rPr>
          <w:rFonts w:cstheme="minorHAnsi"/>
        </w:rPr>
        <w:t xml:space="preserve"> hip fracture. </w:t>
      </w:r>
      <w:r w:rsidR="002641ED">
        <w:rPr>
          <w:rFonts w:cstheme="minorHAnsi"/>
        </w:rPr>
        <w:t>However</w:t>
      </w:r>
      <w:r w:rsidR="00803622">
        <w:rPr>
          <w:rFonts w:cstheme="minorHAnsi"/>
        </w:rPr>
        <w:t xml:space="preserve">, </w:t>
      </w:r>
      <w:r w:rsidR="00CE0F48" w:rsidRPr="00AC5B08">
        <w:rPr>
          <w:rFonts w:cstheme="minorHAnsi"/>
        </w:rPr>
        <w:t>trials</w:t>
      </w:r>
      <w:r w:rsidR="00DA03AD">
        <w:rPr>
          <w:rFonts w:cstheme="minorHAnsi"/>
        </w:rPr>
        <w:t xml:space="preserve"> of </w:t>
      </w:r>
      <w:r>
        <w:rPr>
          <w:rFonts w:cstheme="minorHAnsi"/>
        </w:rPr>
        <w:t>HP</w:t>
      </w:r>
      <w:r w:rsidR="00DA03AD">
        <w:rPr>
          <w:rFonts w:cstheme="minorHAnsi"/>
        </w:rPr>
        <w:t>s</w:t>
      </w:r>
      <w:r w:rsidR="00803622">
        <w:rPr>
          <w:rFonts w:cstheme="minorHAnsi"/>
        </w:rPr>
        <w:t xml:space="preserve"> </w:t>
      </w:r>
      <w:r w:rsidR="00294801">
        <w:rPr>
          <w:rFonts w:cstheme="minorHAnsi"/>
        </w:rPr>
        <w:t>show</w:t>
      </w:r>
      <w:r w:rsidR="00803622">
        <w:rPr>
          <w:rFonts w:cstheme="minorHAnsi"/>
        </w:rPr>
        <w:t xml:space="preserve"> only</w:t>
      </w:r>
      <w:r w:rsidR="006C3A74" w:rsidRPr="00AC5B08">
        <w:rPr>
          <w:rFonts w:cstheme="minorHAnsi"/>
        </w:rPr>
        <w:t xml:space="preserve"> a small reduction in hip fracture risk in </w:t>
      </w:r>
      <w:r w:rsidR="009152B5">
        <w:rPr>
          <w:rFonts w:cstheme="minorHAnsi"/>
        </w:rPr>
        <w:t>care home</w:t>
      </w:r>
      <w:r w:rsidR="006C3A74" w:rsidRPr="00AC5B08">
        <w:rPr>
          <w:rFonts w:cstheme="minorHAnsi"/>
        </w:rPr>
        <w:t xml:space="preserve"> settings, </w:t>
      </w:r>
      <w:r w:rsidR="00294801">
        <w:rPr>
          <w:rFonts w:cstheme="minorHAnsi"/>
        </w:rPr>
        <w:t>and</w:t>
      </w:r>
      <w:r w:rsidR="006C3A74" w:rsidRPr="00AC5B08">
        <w:rPr>
          <w:rFonts w:cstheme="minorHAnsi"/>
        </w:rPr>
        <w:t xml:space="preserve"> little or no effect </w:t>
      </w:r>
      <w:r>
        <w:rPr>
          <w:rFonts w:cstheme="minorHAnsi"/>
        </w:rPr>
        <w:t>o</w:t>
      </w:r>
      <w:r w:rsidR="006C3A74" w:rsidRPr="00AC5B08">
        <w:rPr>
          <w:rFonts w:cstheme="minorHAnsi"/>
        </w:rPr>
        <w:t>n hip fracture risk in the community</w:t>
      </w:r>
      <w:r w:rsidR="00E535D8">
        <w:rPr>
          <w:rFonts w:cstheme="minorHAnsi"/>
        </w:rPr>
        <w:t xml:space="preserve"> </w:t>
      </w:r>
      <w:r w:rsidR="00E535D8" w:rsidRPr="00AC5B08">
        <w:rPr>
          <w:rFonts w:cstheme="minorHAnsi"/>
          <w:color w:val="000000"/>
          <w:shd w:val="clear" w:color="auto" w:fill="FFFFFF"/>
        </w:rPr>
        <w:fldChar w:fldCharType="begin"/>
      </w:r>
      <w:r w:rsidR="004A7891">
        <w:rPr>
          <w:rFonts w:cstheme="minorHAnsi"/>
          <w:color w:val="000000"/>
          <w:shd w:val="clear" w:color="auto" w:fill="FFFFFF"/>
        </w:rPr>
        <w:instrText xml:space="preserve"> ADDIN ZOTERO_ITEM CSL_CITATION {"citationID":"qali2V9B","properties":{"formattedCitation":"(Santesso, Carrasco\\uc0\\u8208{}Labra, and Brignardello\\uc0\\u8208{}Petersen 2014)","plainCitation":"(Santesso, Carrasco‐Labra, and Brignardello‐Petersen 2014)","noteIndex":0},"citationItems":[{"id":424,"uris":["http://zotero.org/users/4391491/items/ZFRRRH4U"],"itemData":{"id":424,"type":"article-journal","container-title":"Cochrane Database of Systematic Reviews","DOI":"10.1002/14651858.CD001255.pub5","ISSN":"1465-1858","issue":"3","language":"en","note":"publisher: John Wiley &amp; Sons, Ltd","source":"www.cochranelibrary.com","title":"Hip protectors for preventing hip fractures in older people","URL":"https://www.cochranelibrary.com/cdsr/doi/10.1002/14651858.CD001255.pub5/full","author":[{"family":"Santesso","given":"Nancy"},{"family":"Carrasco‐Labra","given":"Alonso"},{"family":"Brignardello‐Petersen","given":"Romina"}],"accessed":{"date-parts":[["2022",11,18]]},"issued":{"date-parts":[["2014"]]}}}],"schema":"https://github.com/citation-style-language/schema/raw/master/csl-citation.json"} </w:instrText>
      </w:r>
      <w:r w:rsidR="00E535D8" w:rsidRPr="00AC5B08">
        <w:rPr>
          <w:rFonts w:cstheme="minorHAnsi"/>
          <w:color w:val="000000"/>
          <w:shd w:val="clear" w:color="auto" w:fill="FFFFFF"/>
        </w:rPr>
        <w:fldChar w:fldCharType="separate"/>
      </w:r>
      <w:r w:rsidR="006552EC" w:rsidRPr="006552EC">
        <w:rPr>
          <w:rFonts w:ascii="Calibri" w:hAnsi="Calibri" w:cs="Calibri"/>
          <w:kern w:val="0"/>
          <w:szCs w:val="24"/>
        </w:rPr>
        <w:t>(Santesso, Carrasco‐Labra, and Brignardello‐Petersen 2014)</w:t>
      </w:r>
      <w:r w:rsidR="00E535D8" w:rsidRPr="00AC5B08">
        <w:rPr>
          <w:rFonts w:cstheme="minorHAnsi"/>
          <w:color w:val="000000"/>
          <w:shd w:val="clear" w:color="auto" w:fill="FFFFFF"/>
        </w:rPr>
        <w:fldChar w:fldCharType="end"/>
      </w:r>
      <w:r w:rsidR="006C3A74" w:rsidRPr="00AC5B08">
        <w:rPr>
          <w:rFonts w:cstheme="minorHAnsi"/>
        </w:rPr>
        <w:t>.</w:t>
      </w:r>
      <w:r w:rsidR="009443EB">
        <w:rPr>
          <w:rFonts w:cstheme="minorHAnsi"/>
        </w:rPr>
        <w:t xml:space="preserve"> However, study p</w:t>
      </w:r>
      <w:r w:rsidR="009443EB" w:rsidRPr="00AC5B08">
        <w:rPr>
          <w:rFonts w:cstheme="minorHAnsi"/>
        </w:rPr>
        <w:t xml:space="preserve">articipants find </w:t>
      </w:r>
      <w:r>
        <w:rPr>
          <w:rFonts w:cstheme="minorHAnsi"/>
        </w:rPr>
        <w:t>HP</w:t>
      </w:r>
      <w:r w:rsidR="009443EB" w:rsidRPr="00AC5B08">
        <w:rPr>
          <w:rFonts w:cstheme="minorHAnsi"/>
        </w:rPr>
        <w:t>s uncomfortable or dislike the way they look</w:t>
      </w:r>
      <w:r w:rsidR="002A5617">
        <w:rPr>
          <w:rFonts w:cstheme="minorHAnsi"/>
        </w:rPr>
        <w:t xml:space="preserve"> </w:t>
      </w:r>
      <w:r w:rsidR="00DA785F">
        <w:rPr>
          <w:rFonts w:cstheme="minorHAnsi"/>
        </w:rPr>
        <w:fldChar w:fldCharType="begin"/>
      </w:r>
      <w:r w:rsidR="00DA785F">
        <w:rPr>
          <w:rFonts w:cstheme="minorHAnsi"/>
        </w:rPr>
        <w:instrText xml:space="preserve"> ADDIN ZOTERO_ITEM CSL_CITATION {"citationID":"dTVvbVwS","properties":{"formattedCitation":"(Sims-Gould et al. 2014)","plainCitation":"(Sims-Gould et al. 2014)","noteIndex":0},"citationItems":[{"id":270,"uris":["http://zotero.org/users/4391491/items/GC2MWJC4"],"itemData":{"id":270,"type":"article-journal","abstract":"The purpose of this study was to examine long-term care (LTC) resident and staff perceptions on the decision to use hip protectors and identify the factors that influence attitudes toward hip protector use. Staff (N = 39) and residents (N = 27) at two residential care facilities in British Columbia, Canada were invited to participate in focus groups on fall prevention and hip protector use. A total of 11 focus groups were conducted. Using framework analysis results show that residents and staff shared concerns on aesthetic and comfort issues with hip protectors. Residents also generally felt they did not need, or want to use, hip protectors. However, they also had desire to be cooperative within the LTC environment. Staff underscored their role in advocating for hip protector use and their desire to protect residents from harm. Practice considerations for facilities wishing to promote hip protectors within a patient centered framework are highlighted.","container-title":"Journal of applied gerontology : the official journal of the Southern Gerontological Society","DOI":"10.1177/0733464813488658","ISSN":"0733-4648","issue":"6","journalAbbreviation":"J Appl Gerontol","note":"PMID: 24652886\nPMCID: PMC3970977","page":"690-709","source":"PubMed Central","title":"Autonomy, Choice, Patient-Centered Care, and Hip Protectors: The Experience of Residents and Staff in Long-Term Care","title-short":"Autonomy, Choice, Patient-Centered Care, and Hip Protectors","volume":"33","author":[{"family":"Sims-Gould","given":"Joanie"},{"family":"McKay","given":"Heather A."},{"family":"Feldman","given":"Fabio"},{"family":"Scott","given":"Victoria"},{"family":"Robinovitch","given":"Stephen N."}],"issued":{"date-parts":[["2014",9]]}}}],"schema":"https://github.com/citation-style-language/schema/raw/master/csl-citation.json"} </w:instrText>
      </w:r>
      <w:r w:rsidR="00DA785F">
        <w:rPr>
          <w:rFonts w:cstheme="minorHAnsi"/>
        </w:rPr>
        <w:fldChar w:fldCharType="separate"/>
      </w:r>
      <w:r w:rsidR="006552EC" w:rsidRPr="006552EC">
        <w:rPr>
          <w:rFonts w:ascii="Calibri" w:hAnsi="Calibri" w:cs="Calibri"/>
        </w:rPr>
        <w:t>(Sims-Gould et al. 2014)</w:t>
      </w:r>
      <w:r w:rsidR="00DA785F">
        <w:rPr>
          <w:rFonts w:cstheme="minorHAnsi"/>
        </w:rPr>
        <w:fldChar w:fldCharType="end"/>
      </w:r>
      <w:r w:rsidR="009443EB" w:rsidRPr="00AC5B08">
        <w:rPr>
          <w:rFonts w:cstheme="minorHAnsi"/>
        </w:rPr>
        <w:t xml:space="preserve">, which can negatively impact on the clinical effectiveness of intervention studies using </w:t>
      </w:r>
      <w:r>
        <w:rPr>
          <w:rFonts w:cstheme="minorHAnsi"/>
        </w:rPr>
        <w:t>HP</w:t>
      </w:r>
      <w:r w:rsidR="009443EB" w:rsidRPr="00AC5B08">
        <w:rPr>
          <w:rFonts w:cstheme="minorHAnsi"/>
        </w:rPr>
        <w:t xml:space="preserve">s due to lack of compliance and limited ‘wearing time’ </w:t>
      </w:r>
      <w:r w:rsidR="009443EB" w:rsidRPr="00AC5B08">
        <w:rPr>
          <w:rFonts w:cstheme="minorHAnsi"/>
        </w:rPr>
        <w:fldChar w:fldCharType="begin"/>
      </w:r>
      <w:r w:rsidR="009E6AED">
        <w:rPr>
          <w:rFonts w:cstheme="minorHAnsi"/>
        </w:rPr>
        <w:instrText xml:space="preserve"> ADDIN ZOTERO_ITEM CSL_CITATION {"citationID":"nLpR5SJS","properties":{"formattedCitation":"(Kurrle et al. 2004)","plainCitation":"(Kurrle et al. 2004)","noteIndex":0},"citationItems":[{"id":258,"uris":["http://zotero.org/users/4391491/items/PZ7NVBH7"],"itemData":{"id":258,"type":"article-journal","container-title":"Osteoporosis international : a journal established as result of cooperation between the European Foundation for Osteoporosis and the National Osteoporosis Foundation of the USA","ISSN":"0937-941X","issue":"1","page":"1","title":"Adherence with hip protectors: a proposal for standardised definitions","title-short":"Adherence with hip protectors","volume":"15","author":[{"family":"Kurrle","given":"S. E."},{"family":"Cameron","given":"I. D."},{"family":"Quine","given":"S."},{"family":"Cumming","given":"R. G."}],"issued":{"date-parts":[["2004",1,1]]}}}],"schema":"https://github.com/citation-style-language/schema/raw/master/csl-citation.json"} </w:instrText>
      </w:r>
      <w:r w:rsidR="009443EB" w:rsidRPr="00AC5B08">
        <w:rPr>
          <w:rFonts w:cstheme="minorHAnsi"/>
        </w:rPr>
        <w:fldChar w:fldCharType="separate"/>
      </w:r>
      <w:r w:rsidR="006552EC" w:rsidRPr="006552EC">
        <w:rPr>
          <w:rFonts w:ascii="Calibri" w:hAnsi="Calibri" w:cs="Calibri"/>
        </w:rPr>
        <w:t>(Kurrle et al. 2004)</w:t>
      </w:r>
      <w:r w:rsidR="009443EB" w:rsidRPr="00AC5B08">
        <w:rPr>
          <w:rFonts w:cstheme="minorHAnsi"/>
        </w:rPr>
        <w:fldChar w:fldCharType="end"/>
      </w:r>
      <w:r w:rsidR="009443EB" w:rsidRPr="00AC5B08">
        <w:rPr>
          <w:rFonts w:cstheme="minorHAnsi"/>
        </w:rPr>
        <w:t xml:space="preserve">. </w:t>
      </w:r>
      <w:r w:rsidR="000C7376">
        <w:rPr>
          <w:rFonts w:cstheme="minorHAnsi"/>
        </w:rPr>
        <w:t>The</w:t>
      </w:r>
      <w:r w:rsidR="00CC1561">
        <w:rPr>
          <w:rFonts w:cstheme="minorHAnsi"/>
        </w:rPr>
        <w:t xml:space="preserve"> Cochrane Review</w:t>
      </w:r>
      <w:r w:rsidR="006C3A74" w:rsidRPr="00AC5B08">
        <w:rPr>
          <w:rFonts w:cstheme="minorHAnsi"/>
        </w:rPr>
        <w:t xml:space="preserve"> conclude</w:t>
      </w:r>
      <w:r w:rsidR="00CC1561">
        <w:rPr>
          <w:rFonts w:cstheme="minorHAnsi"/>
        </w:rPr>
        <w:t>d</w:t>
      </w:r>
      <w:r w:rsidR="006C3A74" w:rsidRPr="00AC5B08">
        <w:rPr>
          <w:rFonts w:cstheme="minorHAnsi"/>
        </w:rPr>
        <w:t xml:space="preserve"> that poor acceptance of </w:t>
      </w:r>
      <w:r>
        <w:rPr>
          <w:rFonts w:cstheme="minorHAnsi"/>
        </w:rPr>
        <w:t>HP</w:t>
      </w:r>
      <w:r w:rsidR="006C3A74" w:rsidRPr="00AC5B08">
        <w:rPr>
          <w:rFonts w:cstheme="minorHAnsi"/>
        </w:rPr>
        <w:t>s by older people is a barrier to their use, noting that,</w:t>
      </w:r>
      <w:r w:rsidR="006C3A74" w:rsidRPr="00AC5B08">
        <w:rPr>
          <w:rFonts w:cstheme="minorHAnsi"/>
          <w:color w:val="000000"/>
          <w:shd w:val="clear" w:color="auto" w:fill="FFFFFF"/>
        </w:rPr>
        <w:t xml:space="preserve"> </w:t>
      </w:r>
      <w:r w:rsidR="007179E4">
        <w:rPr>
          <w:rFonts w:cstheme="minorHAnsi"/>
          <w:color w:val="000000"/>
          <w:shd w:val="clear" w:color="auto" w:fill="FFFFFF"/>
        </w:rPr>
        <w:t>‘</w:t>
      </w:r>
      <w:r w:rsidR="006C3A74" w:rsidRPr="00AC5B08">
        <w:rPr>
          <w:rFonts w:cstheme="minorHAnsi"/>
          <w:color w:val="000000"/>
          <w:shd w:val="clear" w:color="auto" w:fill="FFFFFF"/>
        </w:rPr>
        <w:t>better understanding is needed of the personal and design factors that may influence acceptance and adherence.</w:t>
      </w:r>
      <w:r w:rsidR="007179E4">
        <w:rPr>
          <w:rFonts w:cstheme="minorHAnsi"/>
          <w:color w:val="000000"/>
          <w:shd w:val="clear" w:color="auto" w:fill="FFFFFF"/>
        </w:rPr>
        <w:t>’</w:t>
      </w:r>
      <w:r w:rsidR="006C3A74" w:rsidRPr="00AC5B08">
        <w:rPr>
          <w:rFonts w:cstheme="minorHAnsi"/>
          <w:color w:val="000000"/>
          <w:shd w:val="clear" w:color="auto" w:fill="FFFFFF"/>
        </w:rPr>
        <w:t xml:space="preserve"> </w:t>
      </w:r>
      <w:r w:rsidR="006C3A74" w:rsidRPr="00AC5B08">
        <w:rPr>
          <w:rFonts w:cstheme="minorHAnsi"/>
          <w:color w:val="000000"/>
          <w:shd w:val="clear" w:color="auto" w:fill="FFFFFF"/>
        </w:rPr>
        <w:fldChar w:fldCharType="begin"/>
      </w:r>
      <w:r w:rsidR="004A7891">
        <w:rPr>
          <w:rFonts w:cstheme="minorHAnsi"/>
          <w:color w:val="000000"/>
          <w:shd w:val="clear" w:color="auto" w:fill="FFFFFF"/>
        </w:rPr>
        <w:instrText xml:space="preserve"> ADDIN ZOTERO_ITEM CSL_CITATION {"citationID":"QunzKHiI","properties":{"formattedCitation":"(Santesso, Carrasco\\uc0\\u8208{}Labra, and Brignardello\\uc0\\u8208{}Petersen 2014)","plainCitation":"(Santesso, Carrasco‐Labra, and Brignardello‐Petersen 2014)","noteIndex":0},"citationItems":[{"id":424,"uris":["http://zotero.org/users/4391491/items/ZFRRRH4U"],"itemData":{"id":424,"type":"article-journal","container-title":"Cochrane Database of Systematic Reviews","DOI":"10.1002/14651858.CD001255.pub5","ISSN":"1465-1858","issue":"3","language":"en","note":"publisher: John Wiley &amp; Sons, Ltd","source":"www.cochranelibrary.com","title":"Hip protectors for preventing hip fractures in older people","URL":"https://www.cochranelibrary.com/cdsr/doi/10.1002/14651858.CD001255.pub5/full","author":[{"family":"Santesso","given":"Nancy"},{"family":"Carrasco‐Labra","given":"Alonso"},{"family":"Brignardello‐Petersen","given":"Romina"}],"accessed":{"date-parts":[["2022",11,18]]},"issued":{"date-parts":[["2014"]]}}}],"schema":"https://github.com/citation-style-language/schema/raw/master/csl-citation.json"} </w:instrText>
      </w:r>
      <w:r w:rsidR="006C3A74" w:rsidRPr="00AC5B08">
        <w:rPr>
          <w:rFonts w:cstheme="minorHAnsi"/>
          <w:color w:val="000000"/>
          <w:shd w:val="clear" w:color="auto" w:fill="FFFFFF"/>
        </w:rPr>
        <w:fldChar w:fldCharType="separate"/>
      </w:r>
      <w:r w:rsidR="006552EC" w:rsidRPr="006552EC">
        <w:rPr>
          <w:rFonts w:ascii="Calibri" w:hAnsi="Calibri" w:cs="Calibri"/>
          <w:kern w:val="0"/>
          <w:szCs w:val="24"/>
        </w:rPr>
        <w:t>(Santesso, Carrasco‐Labra, and Brignardello‐Petersen 2014)</w:t>
      </w:r>
      <w:r w:rsidR="006C3A74" w:rsidRPr="00AC5B08">
        <w:rPr>
          <w:rFonts w:cstheme="minorHAnsi"/>
          <w:color w:val="000000"/>
          <w:shd w:val="clear" w:color="auto" w:fill="FFFFFF"/>
        </w:rPr>
        <w:fldChar w:fldCharType="end"/>
      </w:r>
      <w:r w:rsidR="006C3A74" w:rsidRPr="00AC5B08">
        <w:rPr>
          <w:rFonts w:cstheme="minorHAnsi"/>
          <w:color w:val="000000"/>
          <w:shd w:val="clear" w:color="auto" w:fill="FFFFFF"/>
        </w:rPr>
        <w:t>.</w:t>
      </w:r>
      <w:r w:rsidR="0041519C">
        <w:rPr>
          <w:rFonts w:cstheme="minorHAnsi"/>
          <w:color w:val="000000"/>
          <w:shd w:val="clear" w:color="auto" w:fill="FFFFFF"/>
        </w:rPr>
        <w:t xml:space="preserve"> </w:t>
      </w:r>
    </w:p>
    <w:p w14:paraId="4471A4B6" w14:textId="4D4DC538" w:rsidR="00090D4D" w:rsidRDefault="00B6090D" w:rsidP="00D121DB">
      <w:r>
        <w:t>Inflatable</w:t>
      </w:r>
      <w:r w:rsidR="00D61F38">
        <w:t xml:space="preserve"> </w:t>
      </w:r>
      <w:r w:rsidR="00276D25">
        <w:t>HP</w:t>
      </w:r>
      <w:r w:rsidR="00D61F38">
        <w:t>s</w:t>
      </w:r>
      <w:r>
        <w:t xml:space="preserve"> – a new technology </w:t>
      </w:r>
      <w:r w:rsidR="00F85FB4">
        <w:t>–</w:t>
      </w:r>
      <w:r w:rsidR="00BF5649">
        <w:t xml:space="preserve"> </w:t>
      </w:r>
      <w:r w:rsidR="00DD410D">
        <w:t>consist of a belt containing inertial sensors that can detect when someone is falling and deploy airbags automatically around the hips.</w:t>
      </w:r>
      <w:r w:rsidR="00090D4D">
        <w:t xml:space="preserve"> </w:t>
      </w:r>
      <w:r w:rsidR="00C00250">
        <w:t>Examples</w:t>
      </w:r>
      <w:r w:rsidR="00090D4D">
        <w:t xml:space="preserve"> of these products, such as </w:t>
      </w:r>
      <w:r w:rsidR="00D62F68">
        <w:t>the Tango</w:t>
      </w:r>
      <w:r w:rsidR="00E02378">
        <w:t xml:space="preserve"> Belt</w:t>
      </w:r>
      <w:r w:rsidR="00090D4D">
        <w:t xml:space="preserve"> and Wolk</w:t>
      </w:r>
      <w:r w:rsidR="00D16F7D">
        <w:t xml:space="preserve"> hip airbag</w:t>
      </w:r>
      <w:r w:rsidR="00090D4D">
        <w:t xml:space="preserve">, have been </w:t>
      </w:r>
      <w:r w:rsidR="00E02378">
        <w:t>studied</w:t>
      </w:r>
      <w:r w:rsidR="00090D4D">
        <w:t xml:space="preserve"> in clinical trials that indicate improved efficacy compared with underwear </w:t>
      </w:r>
      <w:r w:rsidR="00276D25">
        <w:t>HP</w:t>
      </w:r>
      <w:r w:rsidR="00090D4D">
        <w:t xml:space="preserve">s when used in long-term care facilities </w:t>
      </w:r>
      <w:r w:rsidR="00090D4D">
        <w:fldChar w:fldCharType="begin"/>
      </w:r>
      <w:r w:rsidR="00090D4D">
        <w:instrText xml:space="preserve"> ADDIN ZOTERO_ITEM CSL_CITATION {"citationID":"JfEe71C9","properties":{"formattedCitation":"(Tarbert and Singhatat 2021; Nemeth et al. 2022)","plainCitation":"(Tarbert and Singhatat 2021; Nemeth et al. 2022)","noteIndex":0},"citationItems":[{"id":421,"uris":["http://zotero.org/users/4391491/items/6SQCXSVQ"],"itemData":{"id":421,"type":"article-journal","abstract":"Hip fractures are a debilitating event for thousands of older adults each year in our communities and in our care facilities. The outcomes of sustaining a hip fracture include disability, significant cost and increased mortality in a growing population of those at risk of falls and fracture. Traditional methods of injury prevention from falls for those at risk of hip fracture include the wearing of hip protector clothing with limited adherence. A smart wearable designed to overcome barriers to adherence and offer hip protection with fall-sensing technology is emerging in older adult resident facilities to capture the fall as it occurs and avoid injury. This hip protection device has been evaluated in older adult residential settings to decrease fall injuries and support a culture of mobility. Adherence to the wear of the motion sensing technology can be accomplished by embedding the program into the daily care for residents identified as at risk of hip fracture. Successful adherence and shared results are illustrated with specific insight articulated in a single user case study.","container-title":"Journal of Patient Safety and Risk Management","DOI":"10.1177/2516043520979193","ISSN":"2516-0435","issue":"1","language":"en","note":"publisher: SAGE Publications","page":"41-45","source":"SAGE Journals","title":"Skilled nursing resident adherence with wearable technology to offer safer mobility and decreased fall injuries","volume":"26","author":[{"family":"Tarbert","given":"Rebecca J"},{"family":"Singhatat","given":"Wamis"}],"issued":{"date-parts":[["2021",2,1]]}}},{"id":422,"uris":["http://zotero.org/users/4391491/items/EPBFFLGV"],"itemData":{"id":422,"type":"article-journal","abstract":"Hip and pelvic fractures do commonly occur among older adults. This pilot study aimed to evaluate the effect of introduction of the WOLK hip airbag on the incidence of hip fractures.","container-title":"BMC Geriatrics","DOI":"10.1186/s12877-022-03221-1","ISSN":"1471-2318","issue":"1","journalAbbreviation":"BMC Geriatrics","page":"547","source":"BioMed Central","title":"Prevention of hip fractures in older adults residing in long-term care facilities with a hip airbag: a retrospective pilot study","title-short":"Prevention of hip fractures in older adults residing in long-term care facilities with a hip airbag","volume":"22","author":[{"family":"Nemeth","given":"Banne"},{"family":"Kaaij","given":"Marleen","non-dropping-particle":"van der"},{"family":"Nelissen","given":"Rob"},{"family":"Wijnen","given":"Jan-Kees","non-dropping-particle":"van"},{"family":"Drost","given":"Katja"},{"family":"Blauw","given":"Gerard Jan"}],"issued":{"date-parts":[["2022",6,30]]}}}],"schema":"https://github.com/citation-style-language/schema/raw/master/csl-citation.json"} </w:instrText>
      </w:r>
      <w:r w:rsidR="00090D4D">
        <w:fldChar w:fldCharType="separate"/>
      </w:r>
      <w:r w:rsidR="006552EC" w:rsidRPr="006552EC">
        <w:rPr>
          <w:rFonts w:ascii="Calibri" w:hAnsi="Calibri" w:cs="Calibri"/>
        </w:rPr>
        <w:t>(Tarbert and Singhatat 2021; Nemeth et al. 2022)</w:t>
      </w:r>
      <w:r w:rsidR="00090D4D">
        <w:fldChar w:fldCharType="end"/>
      </w:r>
      <w:r w:rsidR="00090D4D">
        <w:t xml:space="preserve">. Although these early results are promising in terms of user compliance and reduction of hip fractures, there are yet to be any studies that report on user expectations or attitudes towards these new types of </w:t>
      </w:r>
      <w:r w:rsidR="00276D25">
        <w:t>HP</w:t>
      </w:r>
      <w:r w:rsidR="00090D4D">
        <w:t>s.</w:t>
      </w:r>
    </w:p>
    <w:p w14:paraId="71D7313B" w14:textId="77777777" w:rsidR="00830634" w:rsidRDefault="00830634" w:rsidP="00D121DB"/>
    <w:p w14:paraId="046753AD" w14:textId="382BDD35" w:rsidR="00830634" w:rsidRDefault="00830634" w:rsidP="00830634">
      <w:pPr>
        <w:pStyle w:val="Caption"/>
        <w:keepNext/>
      </w:pPr>
      <w:bookmarkStart w:id="0" w:name="_Ref155453201"/>
      <w:r>
        <w:t xml:space="preserve">Table </w:t>
      </w:r>
      <w:r w:rsidR="00000000">
        <w:fldChar w:fldCharType="begin"/>
      </w:r>
      <w:r w:rsidR="00000000">
        <w:instrText xml:space="preserve"> SEQ Table \* ARABIC </w:instrText>
      </w:r>
      <w:r w:rsidR="00000000">
        <w:fldChar w:fldCharType="separate"/>
      </w:r>
      <w:r>
        <w:rPr>
          <w:noProof/>
        </w:rPr>
        <w:t>1</w:t>
      </w:r>
      <w:r w:rsidR="00000000">
        <w:rPr>
          <w:noProof/>
        </w:rPr>
        <w:fldChar w:fldCharType="end"/>
      </w:r>
      <w:bookmarkEnd w:id="0"/>
      <w:r>
        <w:t>: Online survey responses.</w:t>
      </w:r>
    </w:p>
    <w:tbl>
      <w:tblPr>
        <w:tblStyle w:val="PhDtablefomat"/>
        <w:tblW w:w="0" w:type="auto"/>
        <w:tblLook w:val="04A0" w:firstRow="1" w:lastRow="0" w:firstColumn="1" w:lastColumn="0" w:noHBand="0" w:noVBand="1"/>
      </w:tblPr>
      <w:tblGrid>
        <w:gridCol w:w="5240"/>
        <w:gridCol w:w="1276"/>
        <w:gridCol w:w="1276"/>
        <w:gridCol w:w="1224"/>
      </w:tblGrid>
      <w:tr w:rsidR="000F50AE" w14:paraId="47CD9882" w14:textId="77777777" w:rsidTr="000929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73E27432" w14:textId="77777777" w:rsidR="000F50AE" w:rsidRDefault="000F50AE" w:rsidP="00DD2096"/>
        </w:tc>
        <w:tc>
          <w:tcPr>
            <w:tcW w:w="1276" w:type="dxa"/>
          </w:tcPr>
          <w:p w14:paraId="06564A68" w14:textId="77777777" w:rsidR="000F50AE" w:rsidRDefault="000F50AE" w:rsidP="00DD2096">
            <w:pPr>
              <w:cnfStyle w:val="100000000000" w:firstRow="1" w:lastRow="0" w:firstColumn="0" w:lastColumn="0" w:oddVBand="0" w:evenVBand="0" w:oddHBand="0" w:evenHBand="0" w:firstRowFirstColumn="0" w:firstRowLastColumn="0" w:lastRowFirstColumn="0" w:lastRowLastColumn="0"/>
            </w:pPr>
            <w:r>
              <w:t>Yes</w:t>
            </w:r>
          </w:p>
          <w:p w14:paraId="519089B7" w14:textId="6D67D7D5" w:rsidR="00C02622" w:rsidRDefault="00C02622" w:rsidP="00DD2096">
            <w:pPr>
              <w:cnfStyle w:val="100000000000" w:firstRow="1" w:lastRow="0" w:firstColumn="0" w:lastColumn="0" w:oddVBand="0" w:evenVBand="0" w:oddHBand="0" w:evenHBand="0" w:firstRowFirstColumn="0" w:firstRowLastColumn="0" w:lastRowFirstColumn="0" w:lastRowLastColumn="0"/>
            </w:pPr>
            <w:r>
              <w:t>% (n)</w:t>
            </w:r>
          </w:p>
        </w:tc>
        <w:tc>
          <w:tcPr>
            <w:tcW w:w="1276" w:type="dxa"/>
          </w:tcPr>
          <w:p w14:paraId="40D4D20D" w14:textId="77777777" w:rsidR="000F50AE" w:rsidRDefault="000F50AE" w:rsidP="00DD2096">
            <w:pPr>
              <w:cnfStyle w:val="100000000000" w:firstRow="1" w:lastRow="0" w:firstColumn="0" w:lastColumn="0" w:oddVBand="0" w:evenVBand="0" w:oddHBand="0" w:evenHBand="0" w:firstRowFirstColumn="0" w:firstRowLastColumn="0" w:lastRowFirstColumn="0" w:lastRowLastColumn="0"/>
            </w:pPr>
            <w:r>
              <w:t>No</w:t>
            </w:r>
          </w:p>
          <w:p w14:paraId="31000C85" w14:textId="3F8B1630" w:rsidR="00C02622" w:rsidRDefault="00C02622" w:rsidP="00DD2096">
            <w:pPr>
              <w:cnfStyle w:val="100000000000" w:firstRow="1" w:lastRow="0" w:firstColumn="0" w:lastColumn="0" w:oddVBand="0" w:evenVBand="0" w:oddHBand="0" w:evenHBand="0" w:firstRowFirstColumn="0" w:firstRowLastColumn="0" w:lastRowFirstColumn="0" w:lastRowLastColumn="0"/>
            </w:pPr>
            <w:r>
              <w:t>% (n)</w:t>
            </w:r>
          </w:p>
        </w:tc>
        <w:tc>
          <w:tcPr>
            <w:tcW w:w="1224" w:type="dxa"/>
          </w:tcPr>
          <w:p w14:paraId="67C1827B" w14:textId="77777777" w:rsidR="000F50AE" w:rsidRDefault="00181E53" w:rsidP="00DD2096">
            <w:pPr>
              <w:cnfStyle w:val="100000000000" w:firstRow="1" w:lastRow="0" w:firstColumn="0" w:lastColumn="0" w:oddVBand="0" w:evenVBand="0" w:oddHBand="0" w:evenHBand="0" w:firstRowFirstColumn="0" w:firstRowLastColumn="0" w:lastRowFirstColumn="0" w:lastRowLastColumn="0"/>
            </w:pPr>
            <w:r>
              <w:t>Maybe</w:t>
            </w:r>
          </w:p>
          <w:p w14:paraId="69ED1864" w14:textId="05B79B67" w:rsidR="00C02622" w:rsidRDefault="00C02622" w:rsidP="00DD2096">
            <w:pPr>
              <w:cnfStyle w:val="100000000000" w:firstRow="1" w:lastRow="0" w:firstColumn="0" w:lastColumn="0" w:oddVBand="0" w:evenVBand="0" w:oddHBand="0" w:evenHBand="0" w:firstRowFirstColumn="0" w:firstRowLastColumn="0" w:lastRowFirstColumn="0" w:lastRowLastColumn="0"/>
            </w:pPr>
            <w:r>
              <w:t>% (n)</w:t>
            </w:r>
          </w:p>
        </w:tc>
      </w:tr>
      <w:tr w:rsidR="000F50AE" w14:paraId="5E6A37E7" w14:textId="77777777" w:rsidTr="000929FB">
        <w:tc>
          <w:tcPr>
            <w:cnfStyle w:val="001000000000" w:firstRow="0" w:lastRow="0" w:firstColumn="1" w:lastColumn="0" w:oddVBand="0" w:evenVBand="0" w:oddHBand="0" w:evenHBand="0" w:firstRowFirstColumn="0" w:firstRowLastColumn="0" w:lastRowFirstColumn="0" w:lastRowLastColumn="0"/>
            <w:tcW w:w="5240" w:type="dxa"/>
          </w:tcPr>
          <w:p w14:paraId="0CFADF8B" w14:textId="27FC4E07" w:rsidR="000F50AE" w:rsidRDefault="00C34911" w:rsidP="00DD2096">
            <w:r w:rsidRPr="00C34911">
              <w:t>Would be prepared to pay significantly more for an airbag hip protector compared to an underwear or padded belt hip protector</w:t>
            </w:r>
            <w:r w:rsidR="00610042">
              <w:t xml:space="preserve"> (n=146)</w:t>
            </w:r>
            <w:r w:rsidR="00BB6777">
              <w:t>.</w:t>
            </w:r>
          </w:p>
          <w:p w14:paraId="35608772" w14:textId="163B4184" w:rsidR="00BB6777" w:rsidRDefault="00BB6777" w:rsidP="00DD2096"/>
        </w:tc>
        <w:tc>
          <w:tcPr>
            <w:tcW w:w="1276" w:type="dxa"/>
          </w:tcPr>
          <w:p w14:paraId="5339008C" w14:textId="5FD46605" w:rsidR="000F50AE" w:rsidRDefault="00960A7A" w:rsidP="00DD2096">
            <w:pPr>
              <w:cnfStyle w:val="000000000000" w:firstRow="0" w:lastRow="0" w:firstColumn="0" w:lastColumn="0" w:oddVBand="0" w:evenVBand="0" w:oddHBand="0" w:evenHBand="0" w:firstRowFirstColumn="0" w:firstRowLastColumn="0" w:lastRowFirstColumn="0" w:lastRowLastColumn="0"/>
            </w:pPr>
            <w:r>
              <w:t>16 (23)</w:t>
            </w:r>
          </w:p>
        </w:tc>
        <w:tc>
          <w:tcPr>
            <w:tcW w:w="1276" w:type="dxa"/>
          </w:tcPr>
          <w:p w14:paraId="4CD6D66C" w14:textId="13D33BA0" w:rsidR="000F50AE" w:rsidRDefault="00444CD0" w:rsidP="00DD2096">
            <w:pPr>
              <w:cnfStyle w:val="000000000000" w:firstRow="0" w:lastRow="0" w:firstColumn="0" w:lastColumn="0" w:oddVBand="0" w:evenVBand="0" w:oddHBand="0" w:evenHBand="0" w:firstRowFirstColumn="0" w:firstRowLastColumn="0" w:lastRowFirstColumn="0" w:lastRowLastColumn="0"/>
            </w:pPr>
            <w:r>
              <w:t>37 (54)</w:t>
            </w:r>
          </w:p>
        </w:tc>
        <w:tc>
          <w:tcPr>
            <w:tcW w:w="1224" w:type="dxa"/>
          </w:tcPr>
          <w:p w14:paraId="68ECC5B9" w14:textId="16F859BB" w:rsidR="000F50AE" w:rsidRDefault="00444CD0" w:rsidP="00DD2096">
            <w:pPr>
              <w:cnfStyle w:val="000000000000" w:firstRow="0" w:lastRow="0" w:firstColumn="0" w:lastColumn="0" w:oddVBand="0" w:evenVBand="0" w:oddHBand="0" w:evenHBand="0" w:firstRowFirstColumn="0" w:firstRowLastColumn="0" w:lastRowFirstColumn="0" w:lastRowLastColumn="0"/>
            </w:pPr>
            <w:r>
              <w:t>47 (69)</w:t>
            </w:r>
          </w:p>
        </w:tc>
      </w:tr>
      <w:tr w:rsidR="000F50AE" w14:paraId="361B6652" w14:textId="77777777" w:rsidTr="000929FB">
        <w:tc>
          <w:tcPr>
            <w:cnfStyle w:val="001000000000" w:firstRow="0" w:lastRow="0" w:firstColumn="1" w:lastColumn="0" w:oddVBand="0" w:evenVBand="0" w:oddHBand="0" w:evenHBand="0" w:firstRowFirstColumn="0" w:firstRowLastColumn="0" w:lastRowFirstColumn="0" w:lastRowLastColumn="0"/>
            <w:tcW w:w="5240" w:type="dxa"/>
          </w:tcPr>
          <w:p w14:paraId="068FB361" w14:textId="6975475B" w:rsidR="000F50AE" w:rsidRDefault="00A163AA" w:rsidP="00DD2096">
            <w:r w:rsidRPr="00A163AA">
              <w:t xml:space="preserve">Would be put off using an airbag hip protector </w:t>
            </w:r>
            <w:r w:rsidR="00012138">
              <w:t xml:space="preserve">due to </w:t>
            </w:r>
            <w:r w:rsidR="00260A41">
              <w:t xml:space="preserve">always </w:t>
            </w:r>
            <w:r w:rsidR="00012138">
              <w:t>having to</w:t>
            </w:r>
            <w:r w:rsidRPr="00A163AA">
              <w:t xml:space="preserve"> </w:t>
            </w:r>
            <w:r w:rsidR="00E75457">
              <w:t>en</w:t>
            </w:r>
            <w:r w:rsidRPr="00A163AA">
              <w:t>sure the battery is charged</w:t>
            </w:r>
            <w:r w:rsidR="00260FD2">
              <w:t xml:space="preserve"> (n=141)</w:t>
            </w:r>
            <w:r>
              <w:t>.</w:t>
            </w:r>
          </w:p>
          <w:p w14:paraId="2BEF6FC3" w14:textId="7ED6D47D" w:rsidR="00A163AA" w:rsidRDefault="00A163AA" w:rsidP="00DD2096"/>
        </w:tc>
        <w:tc>
          <w:tcPr>
            <w:tcW w:w="1276" w:type="dxa"/>
          </w:tcPr>
          <w:p w14:paraId="1B9F5353" w14:textId="1544BEE7" w:rsidR="000F50AE" w:rsidRDefault="00356B0C" w:rsidP="00DD2096">
            <w:pPr>
              <w:cnfStyle w:val="000000000000" w:firstRow="0" w:lastRow="0" w:firstColumn="0" w:lastColumn="0" w:oddVBand="0" w:evenVBand="0" w:oddHBand="0" w:evenHBand="0" w:firstRowFirstColumn="0" w:firstRowLastColumn="0" w:lastRowFirstColumn="0" w:lastRowLastColumn="0"/>
            </w:pPr>
            <w:r>
              <w:t>24 (</w:t>
            </w:r>
            <w:r w:rsidR="00582ED1">
              <w:t>33)</w:t>
            </w:r>
          </w:p>
        </w:tc>
        <w:tc>
          <w:tcPr>
            <w:tcW w:w="1276" w:type="dxa"/>
          </w:tcPr>
          <w:p w14:paraId="4A4C5591" w14:textId="27058832" w:rsidR="000F50AE" w:rsidRDefault="009E11E0" w:rsidP="00DD2096">
            <w:pPr>
              <w:cnfStyle w:val="000000000000" w:firstRow="0" w:lastRow="0" w:firstColumn="0" w:lastColumn="0" w:oddVBand="0" w:evenVBand="0" w:oddHBand="0" w:evenHBand="0" w:firstRowFirstColumn="0" w:firstRowLastColumn="0" w:lastRowFirstColumn="0" w:lastRowLastColumn="0"/>
            </w:pPr>
            <w:r>
              <w:t>48 (</w:t>
            </w:r>
            <w:r w:rsidR="00434419">
              <w:t>68)</w:t>
            </w:r>
          </w:p>
        </w:tc>
        <w:tc>
          <w:tcPr>
            <w:tcW w:w="1224" w:type="dxa"/>
          </w:tcPr>
          <w:p w14:paraId="6D7B8147" w14:textId="52071E19" w:rsidR="000F50AE" w:rsidRDefault="00434419" w:rsidP="00DD2096">
            <w:pPr>
              <w:cnfStyle w:val="000000000000" w:firstRow="0" w:lastRow="0" w:firstColumn="0" w:lastColumn="0" w:oddVBand="0" w:evenVBand="0" w:oddHBand="0" w:evenHBand="0" w:firstRowFirstColumn="0" w:firstRowLastColumn="0" w:lastRowFirstColumn="0" w:lastRowLastColumn="0"/>
            </w:pPr>
            <w:r>
              <w:t>28 (</w:t>
            </w:r>
            <w:r w:rsidR="00E37BDB">
              <w:t>40)</w:t>
            </w:r>
          </w:p>
        </w:tc>
      </w:tr>
      <w:tr w:rsidR="00A163AA" w14:paraId="7E61E982" w14:textId="77777777" w:rsidTr="000929FB">
        <w:tc>
          <w:tcPr>
            <w:cnfStyle w:val="001000000000" w:firstRow="0" w:lastRow="0" w:firstColumn="1" w:lastColumn="0" w:oddVBand="0" w:evenVBand="0" w:oddHBand="0" w:evenHBand="0" w:firstRowFirstColumn="0" w:firstRowLastColumn="0" w:lastRowFirstColumn="0" w:lastRowLastColumn="0"/>
            <w:tcW w:w="5240" w:type="dxa"/>
          </w:tcPr>
          <w:p w14:paraId="6622F24F" w14:textId="19AAE9FB" w:rsidR="00A163AA" w:rsidRPr="00A163AA" w:rsidRDefault="00647EBD" w:rsidP="00DD2096">
            <w:r w:rsidRPr="00647EBD">
              <w:t xml:space="preserve">Would be put off using an airbag hip protector </w:t>
            </w:r>
            <w:r w:rsidR="00012138">
              <w:t>due to</w:t>
            </w:r>
            <w:r w:rsidR="0015620F">
              <w:t xml:space="preserve"> </w:t>
            </w:r>
            <w:r w:rsidR="00260A41">
              <w:t>having</w:t>
            </w:r>
            <w:r w:rsidRPr="00647EBD">
              <w:t xml:space="preserve"> to replace the compressed gas cartridges every time the airbag is activate</w:t>
            </w:r>
            <w:r w:rsidR="0015620F">
              <w:t>d</w:t>
            </w:r>
            <w:r w:rsidR="00260FD2">
              <w:t xml:space="preserve"> (n=</w:t>
            </w:r>
            <w:r w:rsidR="000929FB">
              <w:t>140)</w:t>
            </w:r>
            <w:r w:rsidR="0015620F">
              <w:t xml:space="preserve">. </w:t>
            </w:r>
          </w:p>
        </w:tc>
        <w:tc>
          <w:tcPr>
            <w:tcW w:w="1276" w:type="dxa"/>
          </w:tcPr>
          <w:p w14:paraId="65B6BB81" w14:textId="6E20BF75" w:rsidR="00A163AA" w:rsidRDefault="004B2176" w:rsidP="00DD2096">
            <w:pPr>
              <w:cnfStyle w:val="000000000000" w:firstRow="0" w:lastRow="0" w:firstColumn="0" w:lastColumn="0" w:oddVBand="0" w:evenVBand="0" w:oddHBand="0" w:evenHBand="0" w:firstRowFirstColumn="0" w:firstRowLastColumn="0" w:lastRowFirstColumn="0" w:lastRowLastColumn="0"/>
            </w:pPr>
            <w:r>
              <w:t>31</w:t>
            </w:r>
            <w:r w:rsidR="00DB77FC">
              <w:t xml:space="preserve"> (43)</w:t>
            </w:r>
          </w:p>
        </w:tc>
        <w:tc>
          <w:tcPr>
            <w:tcW w:w="1276" w:type="dxa"/>
          </w:tcPr>
          <w:p w14:paraId="2E4438E7" w14:textId="693F3694" w:rsidR="00A163AA" w:rsidRDefault="00DB77FC" w:rsidP="00DD2096">
            <w:pPr>
              <w:cnfStyle w:val="000000000000" w:firstRow="0" w:lastRow="0" w:firstColumn="0" w:lastColumn="0" w:oddVBand="0" w:evenVBand="0" w:oddHBand="0" w:evenHBand="0" w:firstRowFirstColumn="0" w:firstRowLastColumn="0" w:lastRowFirstColumn="0" w:lastRowLastColumn="0"/>
            </w:pPr>
            <w:r>
              <w:t>37 (52)</w:t>
            </w:r>
          </w:p>
        </w:tc>
        <w:tc>
          <w:tcPr>
            <w:tcW w:w="1224" w:type="dxa"/>
          </w:tcPr>
          <w:p w14:paraId="0A47C51F" w14:textId="10694768" w:rsidR="00A163AA" w:rsidRDefault="00DB77FC" w:rsidP="00DD2096">
            <w:pPr>
              <w:cnfStyle w:val="000000000000" w:firstRow="0" w:lastRow="0" w:firstColumn="0" w:lastColumn="0" w:oddVBand="0" w:evenVBand="0" w:oddHBand="0" w:evenHBand="0" w:firstRowFirstColumn="0" w:firstRowLastColumn="0" w:lastRowFirstColumn="0" w:lastRowLastColumn="0"/>
            </w:pPr>
            <w:r>
              <w:t>32 (</w:t>
            </w:r>
            <w:r w:rsidR="008328A2">
              <w:t>45)</w:t>
            </w:r>
          </w:p>
        </w:tc>
      </w:tr>
    </w:tbl>
    <w:p w14:paraId="68D51D51" w14:textId="77777777" w:rsidR="00830634" w:rsidRDefault="00830634" w:rsidP="00DD2096"/>
    <w:p w14:paraId="74D872D8" w14:textId="13455975" w:rsidR="00830634" w:rsidRDefault="00830634" w:rsidP="00830634">
      <w:r>
        <w:t xml:space="preserve">An online survey was conducted to explore </w:t>
      </w:r>
      <w:r w:rsidRPr="00DD0508">
        <w:rPr>
          <w:rFonts w:cstheme="minorHAnsi"/>
        </w:rPr>
        <w:t xml:space="preserve">attitudes towards </w:t>
      </w:r>
      <w:r w:rsidR="00276D25">
        <w:rPr>
          <w:rFonts w:cstheme="minorHAnsi"/>
        </w:rPr>
        <w:t>HP</w:t>
      </w:r>
      <w:r w:rsidRPr="00DD0508">
        <w:rPr>
          <w:rFonts w:cstheme="minorHAnsi"/>
        </w:rPr>
        <w:t>s and preferences in their design</w:t>
      </w:r>
      <w:r>
        <w:rPr>
          <w:rFonts w:cstheme="minorHAnsi"/>
        </w:rPr>
        <w:t xml:space="preserve">. </w:t>
      </w:r>
      <w:r w:rsidRPr="00DD0508">
        <w:rPr>
          <w:rFonts w:cstheme="minorHAnsi"/>
        </w:rPr>
        <w:t xml:space="preserve">To engage with community dwelling populations at risk of hip fracture, the online survey was directed </w:t>
      </w:r>
      <w:r w:rsidRPr="00DD0508">
        <w:rPr>
          <w:rFonts w:cstheme="minorHAnsi"/>
        </w:rPr>
        <w:lastRenderedPageBreak/>
        <w:t>towards members of the Royal Osteoporosis Society (ROS)</w:t>
      </w:r>
      <w:r>
        <w:rPr>
          <w:rFonts w:cstheme="minorHAnsi"/>
        </w:rPr>
        <w:t xml:space="preserve"> and 146 women responded. </w:t>
      </w:r>
      <w:r>
        <w:t xml:space="preserve">The survey findings </w:t>
      </w:r>
      <w:r w:rsidR="00F36CC9">
        <w:t xml:space="preserve">(see </w:t>
      </w:r>
      <w:r w:rsidR="00F36CC9">
        <w:fldChar w:fldCharType="begin"/>
      </w:r>
      <w:r w:rsidR="00F36CC9">
        <w:instrText xml:space="preserve"> REF _Ref155453201 \h </w:instrText>
      </w:r>
      <w:r w:rsidR="00F36CC9">
        <w:fldChar w:fldCharType="separate"/>
      </w:r>
      <w:r w:rsidR="00F36CC9">
        <w:t xml:space="preserve">Table </w:t>
      </w:r>
      <w:r w:rsidR="00F36CC9">
        <w:rPr>
          <w:noProof/>
        </w:rPr>
        <w:t>1</w:t>
      </w:r>
      <w:r w:rsidR="00F36CC9">
        <w:fldChar w:fldCharType="end"/>
      </w:r>
      <w:r w:rsidR="00F36CC9">
        <w:t xml:space="preserve">) </w:t>
      </w:r>
      <w:r>
        <w:t xml:space="preserve">show that the cost of airbag </w:t>
      </w:r>
      <w:r w:rsidR="00276D25">
        <w:t>HP</w:t>
      </w:r>
      <w:r>
        <w:t xml:space="preserve">s and necessary on-going maintenance, such as battery charging and gas cartridge replacement, are barriers to their acceptance for some potential users. </w:t>
      </w:r>
    </w:p>
    <w:p w14:paraId="3C5A9F3E" w14:textId="567FC67E" w:rsidR="00DD2096" w:rsidRDefault="00DD2096" w:rsidP="00DD2096">
      <w:r>
        <w:t xml:space="preserve">The </w:t>
      </w:r>
      <w:r w:rsidR="00F373FC">
        <w:t xml:space="preserve">qualitative </w:t>
      </w:r>
      <w:r>
        <w:t xml:space="preserve">data also provides insight into </w:t>
      </w:r>
      <w:r w:rsidR="00580A52">
        <w:t>a</w:t>
      </w:r>
      <w:r>
        <w:t xml:space="preserve"> range of attitudes – positive and negative – towards these products. For some women, the perceived barriers to using airbag </w:t>
      </w:r>
      <w:r w:rsidR="00276D25">
        <w:t>HP</w:t>
      </w:r>
      <w:r>
        <w:t xml:space="preserve">s are worth accepting for the increased protection they provide. As one respondent put it, </w:t>
      </w:r>
      <w:r w:rsidR="007179E4">
        <w:t>‘</w:t>
      </w:r>
      <w:r>
        <w:t>I want to do all I can to avoid having a hip fracture</w:t>
      </w:r>
      <w:r w:rsidR="007179E4">
        <w:t>’</w:t>
      </w:r>
      <w:r>
        <w:t>. However, several</w:t>
      </w:r>
      <w:r w:rsidR="00476C1D">
        <w:t xml:space="preserve"> </w:t>
      </w:r>
      <w:r>
        <w:t xml:space="preserve">barriers related to this high-tech solution </w:t>
      </w:r>
      <w:r w:rsidR="00676ADF">
        <w:t xml:space="preserve">also </w:t>
      </w:r>
      <w:r>
        <w:t>emerged, such as</w:t>
      </w:r>
      <w:r w:rsidR="00D71D9F">
        <w:t xml:space="preserve"> running</w:t>
      </w:r>
      <w:r>
        <w:t xml:space="preserve"> cost</w:t>
      </w:r>
      <w:r w:rsidR="00D71D9F">
        <w:t>s</w:t>
      </w:r>
      <w:r>
        <w:t xml:space="preserve">, inconvenience, and safety concerns. Difficulty of use and maintenance for older users, who may experience hand strength and dexterity issues, </w:t>
      </w:r>
      <w:r w:rsidR="002B75C8">
        <w:t>are also reported</w:t>
      </w:r>
      <w:r>
        <w:t xml:space="preserve">. Many of these factors suggest that airbag </w:t>
      </w:r>
      <w:r w:rsidR="00276D25">
        <w:t>HP</w:t>
      </w:r>
      <w:r>
        <w:t>s would be better suited to care home environments, where ongoing product maintenance can be carefully managed, alongside protecting the most vulnerable adults from injuries from falls.</w:t>
      </w:r>
    </w:p>
    <w:p w14:paraId="24614AFB" w14:textId="43196273" w:rsidR="00DD2096" w:rsidRDefault="00DD2096" w:rsidP="00DD2096">
      <w:r>
        <w:t>Within the community-based population, the barriers to acceptance could be overcome by capitalising on</w:t>
      </w:r>
      <w:r w:rsidR="00AB11AC">
        <w:t xml:space="preserve"> lightweight</w:t>
      </w:r>
      <w:r>
        <w:t xml:space="preserve"> inflatable surfaces for impact absorption but perhaps where they are integrated and permanently inflated in garments. In this respect, another respondent noted, </w:t>
      </w:r>
      <w:r w:rsidR="0028645B">
        <w:t>‘</w:t>
      </w:r>
      <w:r>
        <w:t>I</w:t>
      </w:r>
      <w:r w:rsidRPr="004B5BA8">
        <w:t xml:space="preserve"> feel it should be a passive system such as padding. Having an active system is more complicated and could fail to operate</w:t>
      </w:r>
      <w:r w:rsidR="0028645B">
        <w:t>’</w:t>
      </w:r>
      <w:r>
        <w:t xml:space="preserve">. Some of the concerns relating to traditional </w:t>
      </w:r>
      <w:r w:rsidR="00276D25">
        <w:t>HP</w:t>
      </w:r>
      <w:r>
        <w:t xml:space="preserve"> garments, such as</w:t>
      </w:r>
      <w:r w:rsidR="00725254">
        <w:t xml:space="preserve"> their</w:t>
      </w:r>
      <w:r>
        <w:t xml:space="preserve"> bulkiness, are also directed towards the airbag products. One woman observed that, </w:t>
      </w:r>
      <w:r w:rsidR="00FF3C9D">
        <w:t>‘</w:t>
      </w:r>
      <w:r>
        <w:t>t</w:t>
      </w:r>
      <w:r w:rsidRPr="002D3C01">
        <w:t>he idea that the pads are not visible unless a fall occurs is appealing but the tyre effect round the waist is not</w:t>
      </w:r>
      <w:r w:rsidR="00FF3C9D">
        <w:t>’</w:t>
      </w:r>
      <w:r w:rsidRPr="002D3C01">
        <w:t>.</w:t>
      </w:r>
      <w:r>
        <w:t xml:space="preserve"> Another respondent felt the same way, noting, </w:t>
      </w:r>
      <w:r w:rsidR="00FF3C9D">
        <w:t>‘</w:t>
      </w:r>
      <w:r w:rsidRPr="00EF5958">
        <w:t>I'm not very vain but this looks like a roll around the waist</w:t>
      </w:r>
      <w:r>
        <w:t>;</w:t>
      </w:r>
      <w:r w:rsidRPr="00EF5958">
        <w:t xml:space="preserve"> not an attractive look</w:t>
      </w:r>
      <w:r w:rsidR="00FF3C9D">
        <w:t>’</w:t>
      </w:r>
      <w:r>
        <w:t xml:space="preserve">. </w:t>
      </w:r>
      <w:r w:rsidR="00B338DF">
        <w:t xml:space="preserve">This issue is </w:t>
      </w:r>
      <w:r w:rsidR="00EA7E61">
        <w:t>addressed by the Wolk</w:t>
      </w:r>
      <w:r w:rsidR="00276D25">
        <w:t xml:space="preserve"> hip</w:t>
      </w:r>
      <w:r w:rsidR="00EA7E61">
        <w:t xml:space="preserve"> airbag that is worn </w:t>
      </w:r>
      <w:r w:rsidR="001C2ACF">
        <w:t>hidden under clothing.</w:t>
      </w:r>
      <w:r w:rsidR="00513AB9">
        <w:t xml:space="preserve"> </w:t>
      </w:r>
      <w:r w:rsidR="00740F28">
        <w:t>Alternative</w:t>
      </w:r>
      <w:r>
        <w:t xml:space="preserve"> </w:t>
      </w:r>
      <w:r w:rsidR="00276D25">
        <w:t>HP</w:t>
      </w:r>
      <w:r>
        <w:t xml:space="preserve"> designs with ‘inflatable padding’ would need to have a low profile to avoid a bulky aesthetic.</w:t>
      </w:r>
    </w:p>
    <w:p w14:paraId="2E552CBD" w14:textId="75641E7C" w:rsidR="00057C63" w:rsidRDefault="00224C9F" w:rsidP="00DD2096">
      <w:r>
        <w:t xml:space="preserve">Inflatable </w:t>
      </w:r>
      <w:r w:rsidR="00276D25">
        <w:t>HP</w:t>
      </w:r>
      <w:r>
        <w:t>s</w:t>
      </w:r>
      <w:r w:rsidR="00B2297E">
        <w:t xml:space="preserve"> seek to provide more comfortable and </w:t>
      </w:r>
      <w:r>
        <w:t>effective</w:t>
      </w:r>
      <w:r w:rsidR="00B2297E">
        <w:t xml:space="preserve"> hip protection</w:t>
      </w:r>
      <w:r>
        <w:t xml:space="preserve"> compared to traditional underwear products</w:t>
      </w:r>
      <w:r w:rsidR="00B2297E">
        <w:t>. However, this high-tech and expensive solution overlook</w:t>
      </w:r>
      <w:r w:rsidR="00276D25">
        <w:t>s</w:t>
      </w:r>
      <w:r w:rsidR="00B2297E">
        <w:t xml:space="preserve"> other critical user needs, potentially alienating some of the most vulnerable people at risk from falls. Acceptance of wearable airbags is an under-researched area so further investigation is needed to understand </w:t>
      </w:r>
      <w:r w:rsidR="00BA06F0">
        <w:t xml:space="preserve">the ‘personal and design factors’ </w:t>
      </w:r>
      <w:r w:rsidR="00EA2FAA">
        <w:t>related to</w:t>
      </w:r>
      <w:r w:rsidR="00B2297E">
        <w:t xml:space="preserve"> these products.</w:t>
      </w:r>
    </w:p>
    <w:p w14:paraId="59DA3847" w14:textId="77777777" w:rsidR="00325B5A" w:rsidRDefault="00325B5A" w:rsidP="00D121DB"/>
    <w:p w14:paraId="7A87AF75" w14:textId="24B38540" w:rsidR="003B2864" w:rsidRPr="00325B5A" w:rsidRDefault="00325B5A" w:rsidP="00D121DB">
      <w:pPr>
        <w:rPr>
          <w:b/>
          <w:bCs/>
        </w:rPr>
      </w:pPr>
      <w:r w:rsidRPr="00325B5A">
        <w:rPr>
          <w:b/>
          <w:bCs/>
        </w:rPr>
        <w:t>References</w:t>
      </w:r>
    </w:p>
    <w:p w14:paraId="279D3618" w14:textId="77777777" w:rsidR="006631E6" w:rsidRPr="006631E6" w:rsidRDefault="004A7891" w:rsidP="006631E6">
      <w:pPr>
        <w:pStyle w:val="Bibliography"/>
        <w:rPr>
          <w:rFonts w:ascii="Calibri" w:hAnsi="Calibri" w:cs="Calibri"/>
        </w:rPr>
      </w:pPr>
      <w:r>
        <w:fldChar w:fldCharType="begin"/>
      </w:r>
      <w:r w:rsidR="006631E6">
        <w:instrText xml:space="preserve"> ADDIN ZOTERO_BIBL {"uncited":[],"omitted":[],"custom":[]} CSL_BIBLIOGRAPHY </w:instrText>
      </w:r>
      <w:r>
        <w:fldChar w:fldCharType="separate"/>
      </w:r>
      <w:r w:rsidR="006631E6" w:rsidRPr="006631E6">
        <w:rPr>
          <w:rFonts w:ascii="Calibri" w:hAnsi="Calibri" w:cs="Calibri"/>
        </w:rPr>
        <w:t xml:space="preserve">Kurrle, S. E., I. D. Cameron, S. Quine, and R. G. Cumming. 2004. “Adherence with Hip Protectors: A Proposal for Standardised Definitions.” </w:t>
      </w:r>
      <w:r w:rsidR="006631E6" w:rsidRPr="006631E6">
        <w:rPr>
          <w:rFonts w:ascii="Calibri" w:hAnsi="Calibri" w:cs="Calibri"/>
          <w:i/>
          <w:iCs/>
        </w:rPr>
        <w:t>Osteoporosis International : A Journal Established as Result of Cooperation between the European Foundation for Osteoporosis and the National Osteoporosis Foundation of the USA</w:t>
      </w:r>
      <w:r w:rsidR="006631E6" w:rsidRPr="006631E6">
        <w:rPr>
          <w:rFonts w:ascii="Calibri" w:hAnsi="Calibri" w:cs="Calibri"/>
        </w:rPr>
        <w:t xml:space="preserve"> 15 (1): 1.</w:t>
      </w:r>
    </w:p>
    <w:p w14:paraId="553108EA" w14:textId="77777777" w:rsidR="006631E6" w:rsidRPr="006631E6" w:rsidRDefault="006631E6" w:rsidP="006631E6">
      <w:pPr>
        <w:pStyle w:val="Bibliography"/>
        <w:rPr>
          <w:rFonts w:ascii="Calibri" w:hAnsi="Calibri" w:cs="Calibri"/>
        </w:rPr>
      </w:pPr>
      <w:r w:rsidRPr="006631E6">
        <w:rPr>
          <w:rFonts w:ascii="Calibri" w:hAnsi="Calibri" w:cs="Calibri"/>
        </w:rPr>
        <w:t xml:space="preserve">Nemeth, Banne, Marleen van der Kaaij, Rob Nelissen, Jan-Kees van Wijnen, Katja Drost, and Gerard Jan Blauw. 2022. “Prevention of Hip Fractures in Older Adults Residing in Long-Term Care Facilities with a Hip Airbag: A Retrospective Pilot Study.” </w:t>
      </w:r>
      <w:r w:rsidRPr="006631E6">
        <w:rPr>
          <w:rFonts w:ascii="Calibri" w:hAnsi="Calibri" w:cs="Calibri"/>
          <w:i/>
          <w:iCs/>
        </w:rPr>
        <w:t>BMC Geriatrics</w:t>
      </w:r>
      <w:r w:rsidRPr="006631E6">
        <w:rPr>
          <w:rFonts w:ascii="Calibri" w:hAnsi="Calibri" w:cs="Calibri"/>
        </w:rPr>
        <w:t xml:space="preserve"> 22 (1): 547. https://doi.org/10.1186/s12877-022-03221-1.</w:t>
      </w:r>
    </w:p>
    <w:p w14:paraId="552FDCD0" w14:textId="77777777" w:rsidR="006631E6" w:rsidRPr="006631E6" w:rsidRDefault="006631E6" w:rsidP="006631E6">
      <w:pPr>
        <w:pStyle w:val="Bibliography"/>
        <w:rPr>
          <w:rFonts w:ascii="Calibri" w:hAnsi="Calibri" w:cs="Calibri"/>
        </w:rPr>
      </w:pPr>
      <w:r w:rsidRPr="006631E6">
        <w:rPr>
          <w:rFonts w:ascii="Calibri" w:hAnsi="Calibri" w:cs="Calibri"/>
        </w:rPr>
        <w:t>NICE. 2017. “Osteoporosis: Assessing the Risk of Fragility Fracture.” NICE. July 2, 2017. https://www.nice.org.uk/guidance/cg146/chapter/Introduction.</w:t>
      </w:r>
    </w:p>
    <w:p w14:paraId="2836EF4E" w14:textId="77777777" w:rsidR="006631E6" w:rsidRPr="006631E6" w:rsidRDefault="006631E6" w:rsidP="006631E6">
      <w:pPr>
        <w:pStyle w:val="Bibliography"/>
        <w:rPr>
          <w:rFonts w:ascii="Calibri" w:hAnsi="Calibri" w:cs="Calibri"/>
        </w:rPr>
      </w:pPr>
      <w:r w:rsidRPr="006631E6">
        <w:rPr>
          <w:rFonts w:ascii="Calibri" w:hAnsi="Calibri" w:cs="Calibri"/>
        </w:rPr>
        <w:t>Royal College of Physicians. 2018. “National Hip Fracture Database Annual Report 2018.” London: RCP.</w:t>
      </w:r>
    </w:p>
    <w:p w14:paraId="5E8751B6" w14:textId="77777777" w:rsidR="006631E6" w:rsidRPr="006631E6" w:rsidRDefault="006631E6" w:rsidP="006631E6">
      <w:pPr>
        <w:pStyle w:val="Bibliography"/>
        <w:rPr>
          <w:rFonts w:ascii="Calibri" w:hAnsi="Calibri" w:cs="Calibri"/>
        </w:rPr>
      </w:pPr>
      <w:r w:rsidRPr="006631E6">
        <w:rPr>
          <w:rFonts w:ascii="Calibri" w:hAnsi="Calibri" w:cs="Calibri"/>
        </w:rPr>
        <w:lastRenderedPageBreak/>
        <w:t>Royal Osteoporosis Society. 2022. “Women’s Health Strategy Needs to Go Big on Osteoporosis Emergency.” July 20, 2022. https://theros.org.uk/latest-news/women-s-health-strategy-needs-to-go-big-on-osteoporosis-emergency-affecting-one-in-two-women-over-50/.</w:t>
      </w:r>
    </w:p>
    <w:p w14:paraId="08568CCF" w14:textId="77777777" w:rsidR="006631E6" w:rsidRPr="006631E6" w:rsidRDefault="006631E6" w:rsidP="006631E6">
      <w:pPr>
        <w:pStyle w:val="Bibliography"/>
        <w:rPr>
          <w:rFonts w:ascii="Calibri" w:hAnsi="Calibri" w:cs="Calibri"/>
        </w:rPr>
      </w:pPr>
      <w:r w:rsidRPr="006631E6">
        <w:rPr>
          <w:rFonts w:ascii="Calibri" w:hAnsi="Calibri" w:cs="Calibri"/>
        </w:rPr>
        <w:t xml:space="preserve">Santesso, Nancy, Alonso Carrasco‐Labra, and Romina Brignardello‐Petersen. 2014. “Hip Protectors for Preventing Hip Fractures in Older People.” </w:t>
      </w:r>
      <w:r w:rsidRPr="006631E6">
        <w:rPr>
          <w:rFonts w:ascii="Calibri" w:hAnsi="Calibri" w:cs="Calibri"/>
          <w:i/>
          <w:iCs/>
        </w:rPr>
        <w:t>Cochrane Database of Systematic Reviews</w:t>
      </w:r>
      <w:r w:rsidRPr="006631E6">
        <w:rPr>
          <w:rFonts w:ascii="Calibri" w:hAnsi="Calibri" w:cs="Calibri"/>
        </w:rPr>
        <w:t>, no. 3. https://doi.org/10.1002/14651858.CD001255.pub5.</w:t>
      </w:r>
    </w:p>
    <w:p w14:paraId="7B64A4EE" w14:textId="77777777" w:rsidR="006631E6" w:rsidRPr="006631E6" w:rsidRDefault="006631E6" w:rsidP="006631E6">
      <w:pPr>
        <w:pStyle w:val="Bibliography"/>
        <w:rPr>
          <w:rFonts w:ascii="Calibri" w:hAnsi="Calibri" w:cs="Calibri"/>
        </w:rPr>
      </w:pPr>
      <w:r w:rsidRPr="006631E6">
        <w:rPr>
          <w:rFonts w:ascii="Calibri" w:hAnsi="Calibri" w:cs="Calibri"/>
        </w:rPr>
        <w:t xml:space="preserve">Sims-Gould, Joanie, Heather A. McKay, Fabio Feldman, Victoria Scott, and Stephen N. Robinovitch. 2014. “Autonomy, Choice, Patient-Centered Care, and Hip Protectors: The Experience of Residents and Staff in Long-Term Care.” </w:t>
      </w:r>
      <w:r w:rsidRPr="006631E6">
        <w:rPr>
          <w:rFonts w:ascii="Calibri" w:hAnsi="Calibri" w:cs="Calibri"/>
          <w:i/>
          <w:iCs/>
        </w:rPr>
        <w:t>Journal of Applied Gerontology : The Official Journal of the Southern Gerontological Society</w:t>
      </w:r>
      <w:r w:rsidRPr="006631E6">
        <w:rPr>
          <w:rFonts w:ascii="Calibri" w:hAnsi="Calibri" w:cs="Calibri"/>
        </w:rPr>
        <w:t xml:space="preserve"> 33 (6): 690–709. https://doi.org/10.1177/0733464813488658.</w:t>
      </w:r>
    </w:p>
    <w:p w14:paraId="5F184674" w14:textId="77777777" w:rsidR="006631E6" w:rsidRPr="006631E6" w:rsidRDefault="006631E6" w:rsidP="006631E6">
      <w:pPr>
        <w:pStyle w:val="Bibliography"/>
        <w:rPr>
          <w:rFonts w:ascii="Calibri" w:hAnsi="Calibri" w:cs="Calibri"/>
        </w:rPr>
      </w:pPr>
      <w:r w:rsidRPr="006631E6">
        <w:rPr>
          <w:rFonts w:ascii="Calibri" w:hAnsi="Calibri" w:cs="Calibri"/>
        </w:rPr>
        <w:t xml:space="preserve">Stevens, J. A. 2005. “Gender Differences for Non-Fatal Unintentional Fall Related Injuries Among Older Adults.” </w:t>
      </w:r>
      <w:r w:rsidRPr="006631E6">
        <w:rPr>
          <w:rFonts w:ascii="Calibri" w:hAnsi="Calibri" w:cs="Calibri"/>
          <w:i/>
          <w:iCs/>
        </w:rPr>
        <w:t>Injury Prevention</w:t>
      </w:r>
      <w:r w:rsidRPr="006631E6">
        <w:rPr>
          <w:rFonts w:ascii="Calibri" w:hAnsi="Calibri" w:cs="Calibri"/>
        </w:rPr>
        <w:t xml:space="preserve"> 11 (2): 115–19. https://doi.org/10.1136/ip.2004.005835.</w:t>
      </w:r>
    </w:p>
    <w:p w14:paraId="4153C40E" w14:textId="77777777" w:rsidR="006631E6" w:rsidRPr="006631E6" w:rsidRDefault="006631E6" w:rsidP="006631E6">
      <w:pPr>
        <w:pStyle w:val="Bibliography"/>
        <w:rPr>
          <w:rFonts w:ascii="Calibri" w:hAnsi="Calibri" w:cs="Calibri"/>
        </w:rPr>
      </w:pPr>
      <w:r w:rsidRPr="006631E6">
        <w:rPr>
          <w:rFonts w:ascii="Calibri" w:hAnsi="Calibri" w:cs="Calibri"/>
        </w:rPr>
        <w:t xml:space="preserve">Tarbert, Rebecca J, and Wamis Singhatat. 2021. “Skilled Nursing Resident Adherence with Wearable Technology to Offer Safer Mobility and Decreased Fall Injuries.” </w:t>
      </w:r>
      <w:r w:rsidRPr="006631E6">
        <w:rPr>
          <w:rFonts w:ascii="Calibri" w:hAnsi="Calibri" w:cs="Calibri"/>
          <w:i/>
          <w:iCs/>
        </w:rPr>
        <w:t>Journal of Patient Safety and Risk Management</w:t>
      </w:r>
      <w:r w:rsidRPr="006631E6">
        <w:rPr>
          <w:rFonts w:ascii="Calibri" w:hAnsi="Calibri" w:cs="Calibri"/>
        </w:rPr>
        <w:t xml:space="preserve"> 26 (1): 41–45. https://doi.org/10.1177/2516043520979193.</w:t>
      </w:r>
    </w:p>
    <w:p w14:paraId="71844296" w14:textId="060043E7" w:rsidR="00240FB9" w:rsidRDefault="004A7891">
      <w:r>
        <w:fldChar w:fldCharType="end"/>
      </w:r>
    </w:p>
    <w:sectPr w:rsidR="00240FB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7D2F" w14:textId="77777777" w:rsidR="00F45D75" w:rsidRDefault="00F45D75" w:rsidP="00D121DB">
      <w:pPr>
        <w:spacing w:after="0" w:line="240" w:lineRule="auto"/>
      </w:pPr>
      <w:r>
        <w:separator/>
      </w:r>
    </w:p>
  </w:endnote>
  <w:endnote w:type="continuationSeparator" w:id="0">
    <w:p w14:paraId="2FCDDBBD" w14:textId="77777777" w:rsidR="00F45D75" w:rsidRDefault="00F45D75" w:rsidP="00D12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8F0B" w14:textId="2798FDA3" w:rsidR="00D121DB" w:rsidRDefault="00F11A35">
    <w:pPr>
      <w:pStyle w:val="Footer"/>
    </w:pPr>
    <w:r>
      <w:rPr>
        <w:noProof/>
      </w:rPr>
      <mc:AlternateContent>
        <mc:Choice Requires="wps">
          <w:drawing>
            <wp:anchor distT="0" distB="0" distL="0" distR="0" simplePos="0" relativeHeight="251662336" behindDoc="0" locked="0" layoutInCell="1" allowOverlap="1" wp14:anchorId="33472B56" wp14:editId="5C206331">
              <wp:simplePos x="635" y="635"/>
              <wp:positionH relativeFrom="page">
                <wp:align>center</wp:align>
              </wp:positionH>
              <wp:positionV relativeFrom="page">
                <wp:align>bottom</wp:align>
              </wp:positionV>
              <wp:extent cx="443865" cy="443865"/>
              <wp:effectExtent l="0" t="0" r="3175" b="0"/>
              <wp:wrapNone/>
              <wp:docPr id="497744443"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DE5F19" w14:textId="58F32BE1" w:rsidR="00F11A35" w:rsidRPr="00F11A35" w:rsidRDefault="00F11A35" w:rsidP="00F11A35">
                          <w:pPr>
                            <w:spacing w:after="0"/>
                            <w:rPr>
                              <w:rFonts w:ascii="Calibri" w:eastAsia="Calibri" w:hAnsi="Calibri" w:cs="Calibri"/>
                              <w:noProof/>
                              <w:color w:val="FF8C00"/>
                            </w:rPr>
                          </w:pPr>
                          <w:r w:rsidRPr="00F11A35">
                            <w:rPr>
                              <w:rFonts w:ascii="Calibri" w:eastAsia="Calibri" w:hAnsi="Calibri" w:cs="Calibri"/>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472B56"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7DE5F19" w14:textId="58F32BE1" w:rsidR="00F11A35" w:rsidRPr="00F11A35" w:rsidRDefault="00F11A35" w:rsidP="00F11A35">
                    <w:pPr>
                      <w:spacing w:after="0"/>
                      <w:rPr>
                        <w:rFonts w:ascii="Calibri" w:eastAsia="Calibri" w:hAnsi="Calibri" w:cs="Calibri"/>
                        <w:noProof/>
                        <w:color w:val="FF8C00"/>
                      </w:rPr>
                    </w:pPr>
                    <w:r w:rsidRPr="00F11A35">
                      <w:rPr>
                        <w:rFonts w:ascii="Calibri" w:eastAsia="Calibri" w:hAnsi="Calibri" w:cs="Calibri"/>
                        <w:noProof/>
                        <w:color w:val="FF8C00"/>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DA665" w14:textId="0CD5A6CA" w:rsidR="00D121DB" w:rsidRDefault="00F11A35">
    <w:pPr>
      <w:pStyle w:val="Footer"/>
    </w:pPr>
    <w:r>
      <w:rPr>
        <w:noProof/>
      </w:rPr>
      <mc:AlternateContent>
        <mc:Choice Requires="wps">
          <w:drawing>
            <wp:anchor distT="0" distB="0" distL="0" distR="0" simplePos="0" relativeHeight="251663360" behindDoc="0" locked="0" layoutInCell="1" allowOverlap="1" wp14:anchorId="7B6C382B" wp14:editId="613B44F4">
              <wp:simplePos x="914400" y="10067925"/>
              <wp:positionH relativeFrom="page">
                <wp:align>center</wp:align>
              </wp:positionH>
              <wp:positionV relativeFrom="page">
                <wp:align>bottom</wp:align>
              </wp:positionV>
              <wp:extent cx="443865" cy="443865"/>
              <wp:effectExtent l="0" t="0" r="3175" b="0"/>
              <wp:wrapNone/>
              <wp:docPr id="1818125948"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92D5E7" w14:textId="2724B2C5" w:rsidR="00F11A35" w:rsidRPr="00F11A35" w:rsidRDefault="00F11A35" w:rsidP="00F11A35">
                          <w:pPr>
                            <w:spacing w:after="0"/>
                            <w:rPr>
                              <w:rFonts w:ascii="Calibri" w:eastAsia="Calibri" w:hAnsi="Calibri" w:cs="Calibri"/>
                              <w:noProof/>
                              <w:color w:val="FF8C00"/>
                            </w:rPr>
                          </w:pPr>
                          <w:r w:rsidRPr="00F11A35">
                            <w:rPr>
                              <w:rFonts w:ascii="Calibri" w:eastAsia="Calibri" w:hAnsi="Calibri" w:cs="Calibri"/>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6C382B" id="_x0000_t202" coordsize="21600,21600" o:spt="202" path="m,l,21600r21600,l21600,xe">
              <v:stroke joinstyle="miter"/>
              <v:path gradientshapeok="t" o:connecttype="rect"/>
            </v:shapetype>
            <v:shape id="Text Box 6" o:spid="_x0000_s1029" type="#_x0000_t202" alt="RESTRICTED"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0792D5E7" w14:textId="2724B2C5" w:rsidR="00F11A35" w:rsidRPr="00F11A35" w:rsidRDefault="00F11A35" w:rsidP="00F11A35">
                    <w:pPr>
                      <w:spacing w:after="0"/>
                      <w:rPr>
                        <w:rFonts w:ascii="Calibri" w:eastAsia="Calibri" w:hAnsi="Calibri" w:cs="Calibri"/>
                        <w:noProof/>
                        <w:color w:val="FF8C00"/>
                      </w:rPr>
                    </w:pPr>
                    <w:r w:rsidRPr="00F11A35">
                      <w:rPr>
                        <w:rFonts w:ascii="Calibri" w:eastAsia="Calibri" w:hAnsi="Calibri" w:cs="Calibri"/>
                        <w:noProof/>
                        <w:color w:val="FF8C00"/>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E2327" w14:textId="4CEFE9C8" w:rsidR="00D121DB" w:rsidRDefault="00F11A35">
    <w:pPr>
      <w:pStyle w:val="Footer"/>
    </w:pPr>
    <w:r>
      <w:rPr>
        <w:noProof/>
      </w:rPr>
      <mc:AlternateContent>
        <mc:Choice Requires="wps">
          <w:drawing>
            <wp:anchor distT="0" distB="0" distL="0" distR="0" simplePos="0" relativeHeight="251661312" behindDoc="0" locked="0" layoutInCell="1" allowOverlap="1" wp14:anchorId="2AE88CA0" wp14:editId="0A61E6A9">
              <wp:simplePos x="635" y="635"/>
              <wp:positionH relativeFrom="page">
                <wp:align>center</wp:align>
              </wp:positionH>
              <wp:positionV relativeFrom="page">
                <wp:align>bottom</wp:align>
              </wp:positionV>
              <wp:extent cx="443865" cy="443865"/>
              <wp:effectExtent l="0" t="0" r="3175" b="0"/>
              <wp:wrapNone/>
              <wp:docPr id="488446523"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D02242" w14:textId="14BF3471" w:rsidR="00F11A35" w:rsidRPr="00F11A35" w:rsidRDefault="00F11A35" w:rsidP="00F11A35">
                          <w:pPr>
                            <w:spacing w:after="0"/>
                            <w:rPr>
                              <w:rFonts w:ascii="Calibri" w:eastAsia="Calibri" w:hAnsi="Calibri" w:cs="Calibri"/>
                              <w:noProof/>
                              <w:color w:val="FF8C00"/>
                            </w:rPr>
                          </w:pPr>
                          <w:r w:rsidRPr="00F11A35">
                            <w:rPr>
                              <w:rFonts w:ascii="Calibri" w:eastAsia="Calibri" w:hAnsi="Calibri" w:cs="Calibri"/>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E88CA0"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DD02242" w14:textId="14BF3471" w:rsidR="00F11A35" w:rsidRPr="00F11A35" w:rsidRDefault="00F11A35" w:rsidP="00F11A35">
                    <w:pPr>
                      <w:spacing w:after="0"/>
                      <w:rPr>
                        <w:rFonts w:ascii="Calibri" w:eastAsia="Calibri" w:hAnsi="Calibri" w:cs="Calibri"/>
                        <w:noProof/>
                        <w:color w:val="FF8C00"/>
                      </w:rPr>
                    </w:pPr>
                    <w:r w:rsidRPr="00F11A35">
                      <w:rPr>
                        <w:rFonts w:ascii="Calibri" w:eastAsia="Calibri" w:hAnsi="Calibri" w:cs="Calibri"/>
                        <w:noProof/>
                        <w:color w:val="FF8C00"/>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BEE3E" w14:textId="77777777" w:rsidR="00F45D75" w:rsidRDefault="00F45D75" w:rsidP="00D121DB">
      <w:pPr>
        <w:spacing w:after="0" w:line="240" w:lineRule="auto"/>
      </w:pPr>
      <w:r>
        <w:separator/>
      </w:r>
    </w:p>
  </w:footnote>
  <w:footnote w:type="continuationSeparator" w:id="0">
    <w:p w14:paraId="45D28D02" w14:textId="77777777" w:rsidR="00F45D75" w:rsidRDefault="00F45D75" w:rsidP="00D12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56E4C" w14:textId="0493C5F9" w:rsidR="00D121DB" w:rsidRDefault="00F11A35">
    <w:pPr>
      <w:pStyle w:val="Header"/>
    </w:pPr>
    <w:r>
      <w:rPr>
        <w:noProof/>
      </w:rPr>
      <mc:AlternateContent>
        <mc:Choice Requires="wps">
          <w:drawing>
            <wp:anchor distT="0" distB="0" distL="0" distR="0" simplePos="0" relativeHeight="251659264" behindDoc="0" locked="0" layoutInCell="1" allowOverlap="1" wp14:anchorId="341E9B01" wp14:editId="72B4676F">
              <wp:simplePos x="635" y="635"/>
              <wp:positionH relativeFrom="page">
                <wp:align>center</wp:align>
              </wp:positionH>
              <wp:positionV relativeFrom="page">
                <wp:align>top</wp:align>
              </wp:positionV>
              <wp:extent cx="443865" cy="443865"/>
              <wp:effectExtent l="0" t="0" r="3175" b="6350"/>
              <wp:wrapNone/>
              <wp:docPr id="645520868"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433CB1" w14:textId="117C33B6" w:rsidR="00F11A35" w:rsidRPr="00F11A35" w:rsidRDefault="00F11A35" w:rsidP="00F11A35">
                          <w:pPr>
                            <w:spacing w:after="0"/>
                            <w:rPr>
                              <w:rFonts w:ascii="Calibri" w:eastAsia="Calibri" w:hAnsi="Calibri" w:cs="Calibri"/>
                              <w:noProof/>
                              <w:color w:val="FF8C00"/>
                            </w:rPr>
                          </w:pPr>
                          <w:r w:rsidRPr="00F11A35">
                            <w:rPr>
                              <w:rFonts w:ascii="Calibri" w:eastAsia="Calibri" w:hAnsi="Calibri" w:cs="Calibri"/>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1E9B01"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3F433CB1" w14:textId="117C33B6" w:rsidR="00F11A35" w:rsidRPr="00F11A35" w:rsidRDefault="00F11A35" w:rsidP="00F11A35">
                    <w:pPr>
                      <w:spacing w:after="0"/>
                      <w:rPr>
                        <w:rFonts w:ascii="Calibri" w:eastAsia="Calibri" w:hAnsi="Calibri" w:cs="Calibri"/>
                        <w:noProof/>
                        <w:color w:val="FF8C00"/>
                      </w:rPr>
                    </w:pPr>
                    <w:r w:rsidRPr="00F11A35">
                      <w:rPr>
                        <w:rFonts w:ascii="Calibri" w:eastAsia="Calibri" w:hAnsi="Calibri" w:cs="Calibri"/>
                        <w:noProof/>
                        <w:color w:val="FF8C0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B15F2" w14:textId="71D4DA7B" w:rsidR="00D121DB" w:rsidRDefault="00F11A35">
    <w:pPr>
      <w:pStyle w:val="Header"/>
    </w:pPr>
    <w:r>
      <w:rPr>
        <w:noProof/>
      </w:rPr>
      <mc:AlternateContent>
        <mc:Choice Requires="wps">
          <w:drawing>
            <wp:anchor distT="0" distB="0" distL="0" distR="0" simplePos="0" relativeHeight="251660288" behindDoc="0" locked="0" layoutInCell="1" allowOverlap="1" wp14:anchorId="0DCE883D" wp14:editId="56B1B707">
              <wp:simplePos x="914400" y="447675"/>
              <wp:positionH relativeFrom="page">
                <wp:align>center</wp:align>
              </wp:positionH>
              <wp:positionV relativeFrom="page">
                <wp:align>top</wp:align>
              </wp:positionV>
              <wp:extent cx="443865" cy="443865"/>
              <wp:effectExtent l="0" t="0" r="3175" b="6350"/>
              <wp:wrapNone/>
              <wp:docPr id="1379231365"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7A791A" w14:textId="6084D51A" w:rsidR="00F11A35" w:rsidRPr="00F11A35" w:rsidRDefault="00F11A35" w:rsidP="00F11A35">
                          <w:pPr>
                            <w:spacing w:after="0"/>
                            <w:rPr>
                              <w:rFonts w:ascii="Calibri" w:eastAsia="Calibri" w:hAnsi="Calibri" w:cs="Calibri"/>
                              <w:noProof/>
                              <w:color w:val="FF8C00"/>
                            </w:rPr>
                          </w:pPr>
                          <w:r w:rsidRPr="00F11A35">
                            <w:rPr>
                              <w:rFonts w:ascii="Calibri" w:eastAsia="Calibri" w:hAnsi="Calibri" w:cs="Calibri"/>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CE883D" id="_x0000_t202" coordsize="21600,21600" o:spt="202" path="m,l,21600r21600,l21600,xe">
              <v:stroke joinstyle="miter"/>
              <v:path gradientshapeok="t" o:connecttype="rect"/>
            </v:shapetype>
            <v:shape id="Text Box 3" o:spid="_x0000_s1027" type="#_x0000_t202" alt="RESTRICTED"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677A791A" w14:textId="6084D51A" w:rsidR="00F11A35" w:rsidRPr="00F11A35" w:rsidRDefault="00F11A35" w:rsidP="00F11A35">
                    <w:pPr>
                      <w:spacing w:after="0"/>
                      <w:rPr>
                        <w:rFonts w:ascii="Calibri" w:eastAsia="Calibri" w:hAnsi="Calibri" w:cs="Calibri"/>
                        <w:noProof/>
                        <w:color w:val="FF8C00"/>
                      </w:rPr>
                    </w:pPr>
                    <w:r w:rsidRPr="00F11A35">
                      <w:rPr>
                        <w:rFonts w:ascii="Calibri" w:eastAsia="Calibri" w:hAnsi="Calibri" w:cs="Calibri"/>
                        <w:noProof/>
                        <w:color w:val="FF8C00"/>
                      </w:rPr>
                      <w:t>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A403" w14:textId="4A5FBBE2" w:rsidR="00D121DB" w:rsidRDefault="00F11A35">
    <w:pPr>
      <w:pStyle w:val="Header"/>
    </w:pPr>
    <w:r>
      <w:rPr>
        <w:noProof/>
      </w:rPr>
      <mc:AlternateContent>
        <mc:Choice Requires="wps">
          <w:drawing>
            <wp:anchor distT="0" distB="0" distL="0" distR="0" simplePos="0" relativeHeight="251658240" behindDoc="0" locked="0" layoutInCell="1" allowOverlap="1" wp14:anchorId="55B7A9DD" wp14:editId="513A8557">
              <wp:simplePos x="635" y="635"/>
              <wp:positionH relativeFrom="page">
                <wp:align>center</wp:align>
              </wp:positionH>
              <wp:positionV relativeFrom="page">
                <wp:align>top</wp:align>
              </wp:positionV>
              <wp:extent cx="443865" cy="443865"/>
              <wp:effectExtent l="0" t="0" r="3175" b="6350"/>
              <wp:wrapNone/>
              <wp:docPr id="928100848"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72FE37" w14:textId="708F76D8" w:rsidR="00F11A35" w:rsidRPr="00F11A35" w:rsidRDefault="00F11A35" w:rsidP="00F11A35">
                          <w:pPr>
                            <w:spacing w:after="0"/>
                            <w:rPr>
                              <w:rFonts w:ascii="Calibri" w:eastAsia="Calibri" w:hAnsi="Calibri" w:cs="Calibri"/>
                              <w:noProof/>
                              <w:color w:val="FF8C00"/>
                            </w:rPr>
                          </w:pPr>
                          <w:r w:rsidRPr="00F11A35">
                            <w:rPr>
                              <w:rFonts w:ascii="Calibri" w:eastAsia="Calibri" w:hAnsi="Calibri" w:cs="Calibri"/>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B7A9DD"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272FE37" w14:textId="708F76D8" w:rsidR="00F11A35" w:rsidRPr="00F11A35" w:rsidRDefault="00F11A35" w:rsidP="00F11A35">
                    <w:pPr>
                      <w:spacing w:after="0"/>
                      <w:rPr>
                        <w:rFonts w:ascii="Calibri" w:eastAsia="Calibri" w:hAnsi="Calibri" w:cs="Calibri"/>
                        <w:noProof/>
                        <w:color w:val="FF8C00"/>
                      </w:rPr>
                    </w:pPr>
                    <w:r w:rsidRPr="00F11A35">
                      <w:rPr>
                        <w:rFonts w:ascii="Calibri" w:eastAsia="Calibri" w:hAnsi="Calibri" w:cs="Calibri"/>
                        <w:noProof/>
                        <w:color w:val="FF8C0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74AAB"/>
    <w:multiLevelType w:val="hybridMultilevel"/>
    <w:tmpl w:val="811E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2962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B9"/>
    <w:rsid w:val="00010112"/>
    <w:rsid w:val="00012138"/>
    <w:rsid w:val="00057C63"/>
    <w:rsid w:val="00090D4D"/>
    <w:rsid w:val="000929FB"/>
    <w:rsid w:val="000C3BEA"/>
    <w:rsid w:val="000C7376"/>
    <w:rsid w:val="000F50AE"/>
    <w:rsid w:val="0012503E"/>
    <w:rsid w:val="00132044"/>
    <w:rsid w:val="0015620F"/>
    <w:rsid w:val="00181E53"/>
    <w:rsid w:val="001858EE"/>
    <w:rsid w:val="001C2ACF"/>
    <w:rsid w:val="001D640B"/>
    <w:rsid w:val="00220B2A"/>
    <w:rsid w:val="00224C9F"/>
    <w:rsid w:val="00240D4C"/>
    <w:rsid w:val="00240FB9"/>
    <w:rsid w:val="00255E20"/>
    <w:rsid w:val="002604A8"/>
    <w:rsid w:val="00260A41"/>
    <w:rsid w:val="00260FD2"/>
    <w:rsid w:val="002641ED"/>
    <w:rsid w:val="00270139"/>
    <w:rsid w:val="0027249E"/>
    <w:rsid w:val="00276D25"/>
    <w:rsid w:val="0028645B"/>
    <w:rsid w:val="00294801"/>
    <w:rsid w:val="002A5617"/>
    <w:rsid w:val="002B75C8"/>
    <w:rsid w:val="00300D4F"/>
    <w:rsid w:val="003037EF"/>
    <w:rsid w:val="00325B5A"/>
    <w:rsid w:val="00335E3C"/>
    <w:rsid w:val="00356B0C"/>
    <w:rsid w:val="003634DA"/>
    <w:rsid w:val="00396F41"/>
    <w:rsid w:val="003B2864"/>
    <w:rsid w:val="003C2EED"/>
    <w:rsid w:val="003C747D"/>
    <w:rsid w:val="003E4071"/>
    <w:rsid w:val="003F1E5B"/>
    <w:rsid w:val="00404309"/>
    <w:rsid w:val="0041519C"/>
    <w:rsid w:val="004217F6"/>
    <w:rsid w:val="00434419"/>
    <w:rsid w:val="00444CD0"/>
    <w:rsid w:val="00450CAB"/>
    <w:rsid w:val="00476C1D"/>
    <w:rsid w:val="004A08FB"/>
    <w:rsid w:val="004A7891"/>
    <w:rsid w:val="004B2176"/>
    <w:rsid w:val="004C2F41"/>
    <w:rsid w:val="00513AB9"/>
    <w:rsid w:val="00516AE4"/>
    <w:rsid w:val="0052063C"/>
    <w:rsid w:val="0057366C"/>
    <w:rsid w:val="00580A52"/>
    <w:rsid w:val="00582ED1"/>
    <w:rsid w:val="005F3453"/>
    <w:rsid w:val="006071FC"/>
    <w:rsid w:val="00610042"/>
    <w:rsid w:val="0064139F"/>
    <w:rsid w:val="006417D4"/>
    <w:rsid w:val="006420AE"/>
    <w:rsid w:val="00644045"/>
    <w:rsid w:val="00647EBD"/>
    <w:rsid w:val="006552EC"/>
    <w:rsid w:val="006631E6"/>
    <w:rsid w:val="006708EC"/>
    <w:rsid w:val="00676ADF"/>
    <w:rsid w:val="00692192"/>
    <w:rsid w:val="006C3A74"/>
    <w:rsid w:val="007179E4"/>
    <w:rsid w:val="00725254"/>
    <w:rsid w:val="00740F28"/>
    <w:rsid w:val="00742A25"/>
    <w:rsid w:val="0078320A"/>
    <w:rsid w:val="007A25A9"/>
    <w:rsid w:val="007C542B"/>
    <w:rsid w:val="00803622"/>
    <w:rsid w:val="00830634"/>
    <w:rsid w:val="008328A2"/>
    <w:rsid w:val="008A1455"/>
    <w:rsid w:val="008A6979"/>
    <w:rsid w:val="008E3DAC"/>
    <w:rsid w:val="009152B5"/>
    <w:rsid w:val="00942DB2"/>
    <w:rsid w:val="009443EB"/>
    <w:rsid w:val="00960A7A"/>
    <w:rsid w:val="00976E49"/>
    <w:rsid w:val="009E11E0"/>
    <w:rsid w:val="009E6AED"/>
    <w:rsid w:val="00A1378B"/>
    <w:rsid w:val="00A163AA"/>
    <w:rsid w:val="00A46D90"/>
    <w:rsid w:val="00A536DE"/>
    <w:rsid w:val="00A85FBD"/>
    <w:rsid w:val="00AA04FC"/>
    <w:rsid w:val="00AA204B"/>
    <w:rsid w:val="00AB11AC"/>
    <w:rsid w:val="00AE04D3"/>
    <w:rsid w:val="00B10165"/>
    <w:rsid w:val="00B2297E"/>
    <w:rsid w:val="00B338DF"/>
    <w:rsid w:val="00B371BB"/>
    <w:rsid w:val="00B425D4"/>
    <w:rsid w:val="00B6090D"/>
    <w:rsid w:val="00B73494"/>
    <w:rsid w:val="00BA06F0"/>
    <w:rsid w:val="00BB6777"/>
    <w:rsid w:val="00BF5649"/>
    <w:rsid w:val="00C00250"/>
    <w:rsid w:val="00C02622"/>
    <w:rsid w:val="00C2081F"/>
    <w:rsid w:val="00C3412F"/>
    <w:rsid w:val="00C34911"/>
    <w:rsid w:val="00C54EAA"/>
    <w:rsid w:val="00C83594"/>
    <w:rsid w:val="00CC1561"/>
    <w:rsid w:val="00CE0F48"/>
    <w:rsid w:val="00CE499C"/>
    <w:rsid w:val="00D1201D"/>
    <w:rsid w:val="00D121DB"/>
    <w:rsid w:val="00D16F7D"/>
    <w:rsid w:val="00D24983"/>
    <w:rsid w:val="00D449F8"/>
    <w:rsid w:val="00D455DD"/>
    <w:rsid w:val="00D5310A"/>
    <w:rsid w:val="00D61F38"/>
    <w:rsid w:val="00D62F68"/>
    <w:rsid w:val="00D64B6A"/>
    <w:rsid w:val="00D71D9F"/>
    <w:rsid w:val="00DA03AD"/>
    <w:rsid w:val="00DA785F"/>
    <w:rsid w:val="00DB73CE"/>
    <w:rsid w:val="00DB77FC"/>
    <w:rsid w:val="00DC769E"/>
    <w:rsid w:val="00DD2096"/>
    <w:rsid w:val="00DD3301"/>
    <w:rsid w:val="00DD410D"/>
    <w:rsid w:val="00DD7144"/>
    <w:rsid w:val="00E02378"/>
    <w:rsid w:val="00E1212D"/>
    <w:rsid w:val="00E37BDB"/>
    <w:rsid w:val="00E50090"/>
    <w:rsid w:val="00E535D8"/>
    <w:rsid w:val="00E635BF"/>
    <w:rsid w:val="00E75457"/>
    <w:rsid w:val="00E91DB0"/>
    <w:rsid w:val="00EA2FAA"/>
    <w:rsid w:val="00EA7E61"/>
    <w:rsid w:val="00EC00D8"/>
    <w:rsid w:val="00EC72AC"/>
    <w:rsid w:val="00EE4425"/>
    <w:rsid w:val="00F11A35"/>
    <w:rsid w:val="00F27E2D"/>
    <w:rsid w:val="00F36CC9"/>
    <w:rsid w:val="00F373FC"/>
    <w:rsid w:val="00F44B2E"/>
    <w:rsid w:val="00F45D75"/>
    <w:rsid w:val="00F60040"/>
    <w:rsid w:val="00F85FB4"/>
    <w:rsid w:val="00FB0E7F"/>
    <w:rsid w:val="00FD30F5"/>
    <w:rsid w:val="00FF3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DC165"/>
  <w15:chartTrackingRefBased/>
  <w15:docId w15:val="{1E0C6548-C1F0-441A-8C4C-BA8F00A5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F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hDtablefomat">
    <w:name w:val="PhD table fomat"/>
    <w:basedOn w:val="TableNormal"/>
    <w:uiPriority w:val="99"/>
    <w:rsid w:val="004C2F41"/>
    <w:pPr>
      <w:spacing w:after="0" w:line="240" w:lineRule="auto"/>
    </w:pPr>
    <w:rPr>
      <w:sz w:val="20"/>
    </w:rPr>
    <w:tblPr>
      <w:tblBorders>
        <w:top w:val="single" w:sz="4" w:space="0" w:color="auto"/>
        <w:bottom w:val="single" w:sz="4" w:space="0" w:color="auto"/>
        <w:insideH w:val="single" w:sz="4" w:space="0" w:color="auto"/>
      </w:tblBorders>
    </w:tblPr>
    <w:tblStylePr w:type="firstRow">
      <w:rPr>
        <w:rFonts w:asciiTheme="minorHAnsi" w:hAnsiTheme="minorHAnsi"/>
        <w:b/>
        <w:sz w:val="20"/>
      </w:rPr>
    </w:tblStylePr>
    <w:tblStylePr w:type="lastRow">
      <w:rPr>
        <w:rFonts w:asciiTheme="minorHAnsi" w:hAnsiTheme="minorHAnsi"/>
        <w:sz w:val="20"/>
      </w:rPr>
    </w:tblStylePr>
    <w:tblStylePr w:type="firstCol">
      <w:rPr>
        <w:rFonts w:asciiTheme="minorHAnsi" w:hAnsiTheme="minorHAnsi"/>
        <w:sz w:val="20"/>
      </w:rPr>
    </w:tblStylePr>
  </w:style>
  <w:style w:type="character" w:customStyle="1" w:styleId="Heading1Char">
    <w:name w:val="Heading 1 Char"/>
    <w:basedOn w:val="DefaultParagraphFont"/>
    <w:link w:val="Heading1"/>
    <w:uiPriority w:val="9"/>
    <w:rsid w:val="00240FB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12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1DB"/>
  </w:style>
  <w:style w:type="paragraph" w:styleId="Footer">
    <w:name w:val="footer"/>
    <w:basedOn w:val="Normal"/>
    <w:link w:val="FooterChar"/>
    <w:uiPriority w:val="99"/>
    <w:unhideWhenUsed/>
    <w:rsid w:val="00D12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1DB"/>
  </w:style>
  <w:style w:type="paragraph" w:styleId="ListParagraph">
    <w:name w:val="List Paragraph"/>
    <w:basedOn w:val="Normal"/>
    <w:uiPriority w:val="34"/>
    <w:qFormat/>
    <w:rsid w:val="00DD2096"/>
    <w:pPr>
      <w:ind w:left="720"/>
      <w:contextualSpacing/>
    </w:pPr>
    <w:rPr>
      <w:kern w:val="0"/>
      <w14:ligatures w14:val="none"/>
    </w:rPr>
  </w:style>
  <w:style w:type="paragraph" w:styleId="Bibliography">
    <w:name w:val="Bibliography"/>
    <w:basedOn w:val="Normal"/>
    <w:next w:val="Normal"/>
    <w:uiPriority w:val="37"/>
    <w:unhideWhenUsed/>
    <w:rsid w:val="004A7891"/>
    <w:pPr>
      <w:spacing w:after="0" w:line="240" w:lineRule="auto"/>
      <w:ind w:left="720" w:hanging="720"/>
    </w:pPr>
  </w:style>
  <w:style w:type="table" w:styleId="TableGrid">
    <w:name w:val="Table Grid"/>
    <w:basedOn w:val="TableNormal"/>
    <w:uiPriority w:val="39"/>
    <w:rsid w:val="000F5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3063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609C3-8CB3-4676-AFAB-A9E70C496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3</Pages>
  <Words>3224</Words>
  <Characters>18378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Falmouth University</Company>
  <LinksUpToDate>false</LinksUpToDate>
  <CharactersWithSpaces>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Andrews</dc:creator>
  <cp:keywords/>
  <dc:description/>
  <cp:lastModifiedBy>Ailsa Poll</cp:lastModifiedBy>
  <cp:revision>160</cp:revision>
  <dcterms:created xsi:type="dcterms:W3CDTF">2024-01-06T09:05:00Z</dcterms:created>
  <dcterms:modified xsi:type="dcterms:W3CDTF">2024-03-18T15:13:00Z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zotero-version="6.0.23"&gt;&lt;session id="Df6XGeRd"/&gt;&lt;style id="http://www.zotero.org/styles/chicago-author-date" locale="en-US" hasBibliography="1" bibliographyStyleHasBeenSet="1"/&gt;&lt;prefs&gt;&lt;pref name="fieldType" value="Field"/&gt;&lt;/prefs&gt;&lt;/</vt:lpwstr>
  </property>
  <property fmtid="{D5CDD505-2E9C-101B-9397-08002B2CF9AE}" pid="3" name="ZOTERO_PREF_2">
    <vt:lpwstr>data&gt;</vt:lpwstr>
  </property>
  <property fmtid="{D5CDD505-2E9C-101B-9397-08002B2CF9AE}" pid="4" name="ClassificationContentMarkingHeaderShapeIds">
    <vt:lpwstr>3751b1f0,2679dde4,52356685</vt:lpwstr>
  </property>
  <property fmtid="{D5CDD505-2E9C-101B-9397-08002B2CF9AE}" pid="5" name="ClassificationContentMarkingHeaderFontProps">
    <vt:lpwstr>#ff8c00,11,Calibri</vt:lpwstr>
  </property>
  <property fmtid="{D5CDD505-2E9C-101B-9397-08002B2CF9AE}" pid="6" name="ClassificationContentMarkingHeaderText">
    <vt:lpwstr>RESTRICTED</vt:lpwstr>
  </property>
  <property fmtid="{D5CDD505-2E9C-101B-9397-08002B2CF9AE}" pid="7" name="ClassificationContentMarkingFooterShapeIds">
    <vt:lpwstr>1d1d1a3b,1daafa3b,6c5e667c</vt:lpwstr>
  </property>
  <property fmtid="{D5CDD505-2E9C-101B-9397-08002B2CF9AE}" pid="8" name="ClassificationContentMarkingFooterFontProps">
    <vt:lpwstr>#ff8c00,11,Calibri</vt:lpwstr>
  </property>
  <property fmtid="{D5CDD505-2E9C-101B-9397-08002B2CF9AE}" pid="9" name="ClassificationContentMarkingFooterText">
    <vt:lpwstr>RESTRICTED</vt:lpwstr>
  </property>
  <property fmtid="{D5CDD505-2E9C-101B-9397-08002B2CF9AE}" pid="10" name="MSIP_Label_57c33bae-76e0-44b3-baa3-351f99b93dbd_Enabled">
    <vt:lpwstr>true</vt:lpwstr>
  </property>
  <property fmtid="{D5CDD505-2E9C-101B-9397-08002B2CF9AE}" pid="11" name="MSIP_Label_57c33bae-76e0-44b3-baa3-351f99b93dbd_SetDate">
    <vt:lpwstr>2024-03-18T15:13:49Z</vt:lpwstr>
  </property>
  <property fmtid="{D5CDD505-2E9C-101B-9397-08002B2CF9AE}" pid="12" name="MSIP_Label_57c33bae-76e0-44b3-baa3-351f99b93dbd_Method">
    <vt:lpwstr>Standard</vt:lpwstr>
  </property>
  <property fmtid="{D5CDD505-2E9C-101B-9397-08002B2CF9AE}" pid="13" name="MSIP_Label_57c33bae-76e0-44b3-baa3-351f99b93dbd_Name">
    <vt:lpwstr>Restricted</vt:lpwstr>
  </property>
  <property fmtid="{D5CDD505-2E9C-101B-9397-08002B2CF9AE}" pid="14" name="MSIP_Label_57c33bae-76e0-44b3-baa3-351f99b93dbd_SiteId">
    <vt:lpwstr>550beeb3-6a3d-4646-a111-f89d0177792e</vt:lpwstr>
  </property>
  <property fmtid="{D5CDD505-2E9C-101B-9397-08002B2CF9AE}" pid="15" name="MSIP_Label_57c33bae-76e0-44b3-baa3-351f99b93dbd_ActionId">
    <vt:lpwstr>7ed5e650-41bc-4cad-8ffb-5963f337388a</vt:lpwstr>
  </property>
  <property fmtid="{D5CDD505-2E9C-101B-9397-08002B2CF9AE}" pid="16" name="MSIP_Label_57c33bae-76e0-44b3-baa3-351f99b93dbd_ContentBits">
    <vt:lpwstr>3</vt:lpwstr>
  </property>
</Properties>
</file>