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00E29" w14:textId="77777777" w:rsidR="001A28F5" w:rsidRPr="00B26B54" w:rsidRDefault="001A28F5" w:rsidP="001A28F5">
      <w:pPr>
        <w:rPr>
          <w:color w:val="000000"/>
          <w:sz w:val="52"/>
          <w:szCs w:val="52"/>
        </w:rPr>
      </w:pPr>
      <w:r w:rsidRPr="00B26B54">
        <w:rPr>
          <w:color w:val="000000"/>
          <w:sz w:val="52"/>
          <w:szCs w:val="52"/>
        </w:rPr>
        <w:t xml:space="preserve">Entertainment at All Costs: </w:t>
      </w:r>
      <w:r>
        <w:rPr>
          <w:color w:val="000000"/>
          <w:sz w:val="52"/>
          <w:szCs w:val="52"/>
        </w:rPr>
        <w:t>Exploring</w:t>
      </w:r>
      <w:r w:rsidRPr="00B26B54">
        <w:rPr>
          <w:color w:val="000000"/>
          <w:sz w:val="52"/>
          <w:szCs w:val="52"/>
        </w:rPr>
        <w:t xml:space="preserve"> Experiences at the Peripheries of Traditional Game Design</w:t>
      </w:r>
    </w:p>
    <w:p w14:paraId="724C0106" w14:textId="77777777" w:rsidR="001A28F5" w:rsidRDefault="001A28F5" w:rsidP="001A28F5"/>
    <w:p w14:paraId="68D043FB" w14:textId="77777777" w:rsidR="001A28F5" w:rsidRPr="00007420" w:rsidRDefault="001A28F5" w:rsidP="001A28F5">
      <w:r w:rsidRPr="00007420">
        <w:t>Author 1, Institution</w:t>
      </w:r>
    </w:p>
    <w:p w14:paraId="18CCD751" w14:textId="77777777" w:rsidR="001A28F5" w:rsidRPr="00007420" w:rsidRDefault="001A28F5" w:rsidP="001A28F5">
      <w:r w:rsidRPr="00007420">
        <w:t>Author 2, Institution</w:t>
      </w:r>
    </w:p>
    <w:p w14:paraId="056CFDD2" w14:textId="77777777" w:rsidR="001A28F5" w:rsidRPr="00007420" w:rsidRDefault="001A28F5" w:rsidP="001A28F5"/>
    <w:p w14:paraId="41520807" w14:textId="77777777" w:rsidR="001A28F5" w:rsidRPr="00007420" w:rsidRDefault="001A28F5" w:rsidP="001A28F5">
      <w:r w:rsidRPr="00007420">
        <w:t xml:space="preserve">In the proposed talk we will analyse professional wrestling as an activity that sits on the periphery of modern game design, but which serves as a potentially invaluable source of inspiration for game creators. We draw on previous work which considers wrestling as a real athletic performance with attendant rules, but also as a pre-determined scripted event that fits into a larger narrative (Oliva &amp; Calleja 2009). </w:t>
      </w:r>
    </w:p>
    <w:p w14:paraId="030ACADD" w14:textId="77777777" w:rsidR="001A28F5" w:rsidRPr="00007420" w:rsidRDefault="001A28F5" w:rsidP="001A28F5"/>
    <w:p w14:paraId="50153D5A" w14:textId="77777777" w:rsidR="001A28F5" w:rsidRPr="00007420" w:rsidRDefault="001A28F5" w:rsidP="001A28F5">
      <w:pPr>
        <w:rPr>
          <w:color w:val="000000"/>
        </w:rPr>
      </w:pPr>
      <w:r w:rsidRPr="00007420">
        <w:t xml:space="preserve">The balance between scripted narrative, improvisation, and productive interaction with the audience comprises the ‘kayfabe’ of a match. Kayfabe is the disposition of both performers and audience that acknowledges and negotiates the artifice of the performance. Laine (2018: 90) phrases this as, “the visible and observable theatrical presentation of a fictional or predetermined world and timeline.” To negotiate kayfabe the audience must imagine their way into the space where they can enjoy a performance knowing that it is staged, </w:t>
      </w:r>
      <w:r>
        <w:t>mediating</w:t>
      </w:r>
      <w:r w:rsidRPr="00007420">
        <w:t xml:space="preserve"> across multiple modes of meaning-making (Ford 2007). Jones (2019) interprets the aesthetic qualities of wrestling as being interactive - putting the audience into a mindset of make-believe that must be sustained by both performers and spectators.</w:t>
      </w:r>
      <w:r w:rsidRPr="00007420">
        <w:rPr>
          <w:color w:val="000000"/>
        </w:rPr>
        <w:t> </w:t>
      </w:r>
    </w:p>
    <w:p w14:paraId="59DF80F6" w14:textId="77777777" w:rsidR="001A28F5" w:rsidRPr="00007420" w:rsidRDefault="001A28F5" w:rsidP="001A28F5">
      <w:pPr>
        <w:rPr>
          <w:color w:val="000000"/>
        </w:rPr>
      </w:pPr>
    </w:p>
    <w:p w14:paraId="6E6330FC" w14:textId="77777777" w:rsidR="001A28F5" w:rsidRPr="00007420" w:rsidRDefault="001A28F5" w:rsidP="001A28F5">
      <w:r w:rsidRPr="00007420">
        <w:t>We draw on ongoing work that seeks to establish connections between wrestling and the existing game design practice of game mastering (</w:t>
      </w:r>
      <w:proofErr w:type="spellStart"/>
      <w:r w:rsidRPr="00007420">
        <w:t>GMing</w:t>
      </w:r>
      <w:proofErr w:type="spellEnd"/>
      <w:r w:rsidRPr="00007420">
        <w:t>) in tabletop role playing games (TTRPGs). In a TTRPG the primary goal is entertainment through the live interpretation of a set of rules, scripted narrative, and improvised action (Laws 2002). We discuss a linkage between the role that the GM serves in TTRPGs (as they establish scenarios, voice NPCs, and interpret the written rules), and the similar function of the performers and writers in a wrestling match to animate action that invites their audience to give themselves over to an imagined world of the performance (Cover, 2010; Fine 2002; Laws 200</w:t>
      </w:r>
      <w:r w:rsidRPr="00007420">
        <w:t>2</w:t>
      </w:r>
      <w:r w:rsidRPr="00007420">
        <w:t>).</w:t>
      </w:r>
    </w:p>
    <w:p w14:paraId="6E5B28A8" w14:textId="77777777" w:rsidR="001A28F5" w:rsidRPr="00007420" w:rsidRDefault="001A28F5" w:rsidP="001A28F5"/>
    <w:p w14:paraId="3A33B1A3" w14:textId="77777777" w:rsidR="001A28F5" w:rsidRPr="00007420" w:rsidRDefault="001A28F5" w:rsidP="001A28F5">
      <w:r w:rsidRPr="00007420">
        <w:t xml:space="preserve">We approach this through a content analysis of texts around wrestling as a designed experience, comparing this to ongoing practice-based work to understand the role of the GM in TTRPG play (Author 2). Using this synthesis, we present findings about both similarities and conflicts between these experiences and point towards other under-researched domains that might similarly inform </w:t>
      </w:r>
      <w:r>
        <w:t xml:space="preserve">game </w:t>
      </w:r>
      <w:r w:rsidRPr="00007420">
        <w:t>design practice. Using both our work and the emerging framework of fake and fictional games in games studies (</w:t>
      </w:r>
      <w:proofErr w:type="spellStart"/>
      <w:r w:rsidRPr="00007420">
        <w:rPr>
          <w:color w:val="000000"/>
        </w:rPr>
        <w:t>Gualeni</w:t>
      </w:r>
      <w:proofErr w:type="spellEnd"/>
      <w:r w:rsidRPr="00007420">
        <w:rPr>
          <w:color w:val="000000"/>
        </w:rPr>
        <w:t xml:space="preserve"> &amp; </w:t>
      </w:r>
      <w:proofErr w:type="spellStart"/>
      <w:r w:rsidRPr="00007420">
        <w:rPr>
          <w:color w:val="000000"/>
        </w:rPr>
        <w:t>Fassone</w:t>
      </w:r>
      <w:proofErr w:type="spellEnd"/>
      <w:r w:rsidRPr="00007420">
        <w:rPr>
          <w:color w:val="000000"/>
        </w:rPr>
        <w:t xml:space="preserve"> 2022; Van de </w:t>
      </w:r>
      <w:proofErr w:type="spellStart"/>
      <w:r w:rsidRPr="00007420">
        <w:rPr>
          <w:color w:val="000000"/>
        </w:rPr>
        <w:t>Mosselaer</w:t>
      </w:r>
      <w:proofErr w:type="spellEnd"/>
      <w:r w:rsidRPr="00007420">
        <w:rPr>
          <w:color w:val="000000"/>
        </w:rPr>
        <w:t xml:space="preserve"> 2025)</w:t>
      </w:r>
      <w:r w:rsidRPr="00007420">
        <w:t xml:space="preserve"> we highlight two related fields that could be considered through a similar lens: stage magic and improv theatre. We argue that both feature scripted narrative and productive audience interaction, with stage magic leaning on the scripted outcomes and improv leaning on productive audience interaction.</w:t>
      </w:r>
    </w:p>
    <w:p w14:paraId="6C3296C0" w14:textId="77777777" w:rsidR="001A28F5" w:rsidRPr="00007420" w:rsidRDefault="001A28F5" w:rsidP="001A28F5"/>
    <w:p w14:paraId="6BCE2A1A" w14:textId="77777777" w:rsidR="001A28F5" w:rsidRPr="00007420" w:rsidRDefault="001A28F5" w:rsidP="001A28F5">
      <w:r w:rsidRPr="00007420">
        <w:t xml:space="preserve">With this talk we aim to present our ongoing work and receive feedback from the British </w:t>
      </w:r>
      <w:proofErr w:type="spellStart"/>
      <w:r w:rsidRPr="00007420">
        <w:t>DiGRA</w:t>
      </w:r>
      <w:proofErr w:type="spellEnd"/>
      <w:r w:rsidRPr="00007420">
        <w:t xml:space="preserve"> community. Additionally, we seek to animate a discussion among attendees to consider the implications of exploring experiences that are peripheral to traditional game </w:t>
      </w:r>
      <w:r w:rsidRPr="00007420">
        <w:lastRenderedPageBreak/>
        <w:t xml:space="preserve">design, and to collaboratively discuss other </w:t>
      </w:r>
      <w:r>
        <w:t>adjacent</w:t>
      </w:r>
      <w:r w:rsidRPr="00007420">
        <w:t xml:space="preserve"> fields and domains that may share a similar linkage with more traditional game design theory.</w:t>
      </w:r>
    </w:p>
    <w:p w14:paraId="5F3205EE" w14:textId="77777777" w:rsidR="001A28F5" w:rsidRDefault="001A28F5" w:rsidP="001A28F5"/>
    <w:p w14:paraId="1D1A5740" w14:textId="77777777" w:rsidR="001A28F5" w:rsidRPr="00B26B54" w:rsidRDefault="001A28F5" w:rsidP="001A28F5">
      <w:pPr>
        <w:rPr>
          <w:b/>
          <w:bCs/>
        </w:rPr>
      </w:pPr>
      <w:r w:rsidRPr="00B26B54">
        <w:rPr>
          <w:b/>
          <w:bCs/>
        </w:rPr>
        <w:t>References:</w:t>
      </w:r>
    </w:p>
    <w:p w14:paraId="1691F949" w14:textId="77777777" w:rsidR="001A28F5" w:rsidRDefault="001A28F5" w:rsidP="001A28F5">
      <w:r>
        <w:t>Author 2 – Blinded for Review</w:t>
      </w:r>
    </w:p>
    <w:p w14:paraId="7915207C" w14:textId="77777777" w:rsidR="001A28F5" w:rsidRDefault="001A28F5" w:rsidP="001A28F5">
      <w:pPr>
        <w:ind w:left="567" w:hanging="567"/>
      </w:pPr>
      <w:r w:rsidRPr="00B63093">
        <w:t>C</w:t>
      </w:r>
      <w:r>
        <w:t>over</w:t>
      </w:r>
      <w:r w:rsidRPr="00B63093">
        <w:t xml:space="preserve">, Jennifer </w:t>
      </w:r>
      <w:proofErr w:type="spellStart"/>
      <w:r w:rsidRPr="00B63093">
        <w:t>Grouling</w:t>
      </w:r>
      <w:proofErr w:type="spellEnd"/>
      <w:r w:rsidRPr="00B63093">
        <w:t xml:space="preserve">. 2010. </w:t>
      </w:r>
      <w:r w:rsidRPr="00B63093">
        <w:rPr>
          <w:i/>
          <w:iCs/>
        </w:rPr>
        <w:t>The Creation of Narrative in Tabletop Role-Playing Games</w:t>
      </w:r>
      <w:r w:rsidRPr="00B63093">
        <w:t>. Jefferson, North Carolina: McFarland &amp; Company, Inc.</w:t>
      </w:r>
    </w:p>
    <w:p w14:paraId="3A8C3360" w14:textId="77777777" w:rsidR="001A28F5" w:rsidRDefault="001A28F5" w:rsidP="001A28F5">
      <w:pPr>
        <w:ind w:left="567" w:hanging="567"/>
      </w:pPr>
      <w:r w:rsidRPr="00B63093">
        <w:t>F</w:t>
      </w:r>
      <w:r>
        <w:t>ine</w:t>
      </w:r>
      <w:r w:rsidRPr="00B63093">
        <w:t xml:space="preserve">, Gary Alan. 2002. </w:t>
      </w:r>
      <w:r w:rsidRPr="00B63093">
        <w:rPr>
          <w:i/>
          <w:iCs/>
        </w:rPr>
        <w:t>Shared Fantasy: Role-Playing Games as Social Worlds</w:t>
      </w:r>
      <w:r w:rsidRPr="00B63093">
        <w:t>. Chicago: University Of Chicago Press.</w:t>
      </w:r>
    </w:p>
    <w:p w14:paraId="2F9BCD28" w14:textId="77777777" w:rsidR="001A28F5" w:rsidRPr="00BC349D" w:rsidRDefault="001A28F5" w:rsidP="001A28F5">
      <w:pPr>
        <w:ind w:left="567" w:hanging="567"/>
      </w:pPr>
      <w:r w:rsidRPr="00BC349D">
        <w:t xml:space="preserve">Ford. 2007. </w:t>
      </w:r>
      <w:r w:rsidRPr="00BC349D">
        <w:rPr>
          <w:i/>
          <w:iCs/>
        </w:rPr>
        <w:t>Pinning down Fan Involvement: An Examination of Multiple Modes of Engagement for Professional Wrestling Fans.</w:t>
      </w:r>
      <w:r w:rsidRPr="00BC349D">
        <w:t xml:space="preserve"> Material of the MIT Programme in Comparative Media Studies. MIT.</w:t>
      </w:r>
    </w:p>
    <w:p w14:paraId="071A44DC" w14:textId="77777777" w:rsidR="001A28F5" w:rsidRPr="00BC349D" w:rsidRDefault="001A28F5" w:rsidP="001A28F5">
      <w:pPr>
        <w:ind w:left="567" w:hanging="567"/>
      </w:pPr>
      <w:proofErr w:type="spellStart"/>
      <w:r w:rsidRPr="00BC349D">
        <w:t>Gualeni</w:t>
      </w:r>
      <w:proofErr w:type="spellEnd"/>
      <w:r w:rsidRPr="00BC349D">
        <w:t xml:space="preserve">, Stefano, and Riccardo </w:t>
      </w:r>
      <w:proofErr w:type="spellStart"/>
      <w:r w:rsidRPr="00BC349D">
        <w:t>Fassone</w:t>
      </w:r>
      <w:proofErr w:type="spellEnd"/>
      <w:r w:rsidRPr="00BC349D">
        <w:t xml:space="preserve">. 2022. </w:t>
      </w:r>
      <w:r w:rsidRPr="00BC349D">
        <w:rPr>
          <w:i/>
          <w:iCs/>
        </w:rPr>
        <w:t>Fictional Games: A Philosophy of Worldbuilding and Imaginary Play</w:t>
      </w:r>
      <w:r w:rsidRPr="00BC349D">
        <w:t xml:space="preserve">. First edition. Bloomsbury Academic. </w:t>
      </w:r>
      <w:hyperlink r:id="rId6" w:history="1">
        <w:r w:rsidRPr="00BC349D">
          <w:rPr>
            <w:color w:val="0000FF"/>
            <w:u w:val="single"/>
          </w:rPr>
          <w:t>https://doi.org/10.5040/9781350277113</w:t>
        </w:r>
      </w:hyperlink>
      <w:r w:rsidRPr="00BC349D">
        <w:t>.</w:t>
      </w:r>
    </w:p>
    <w:p w14:paraId="15D070C9" w14:textId="77777777" w:rsidR="001A28F5" w:rsidRPr="00BC349D" w:rsidRDefault="001A28F5" w:rsidP="001A28F5">
      <w:pPr>
        <w:ind w:left="567" w:hanging="567"/>
      </w:pPr>
      <w:r w:rsidRPr="00BC349D">
        <w:t xml:space="preserve">Jones, Lisa. 2020. ‘All Caught up in the Kayfabe: Understanding and Appreciating pro-Wrestling’. In </w:t>
      </w:r>
      <w:r w:rsidRPr="00BC349D">
        <w:rPr>
          <w:i/>
          <w:iCs/>
        </w:rPr>
        <w:t>Emotions in Sport and Games</w:t>
      </w:r>
      <w:r w:rsidRPr="00BC349D">
        <w:t xml:space="preserve">, 1st </w:t>
      </w:r>
      <w:proofErr w:type="spellStart"/>
      <w:r w:rsidRPr="00BC349D">
        <w:t>edn</w:t>
      </w:r>
      <w:proofErr w:type="spellEnd"/>
      <w:r w:rsidRPr="00BC349D">
        <w:t xml:space="preserve">, edited by Alfred Archer and Nathan Wildman. Routledge. </w:t>
      </w:r>
      <w:hyperlink r:id="rId7" w:history="1">
        <w:r w:rsidRPr="00BC349D">
          <w:rPr>
            <w:color w:val="0000FF"/>
            <w:u w:val="single"/>
          </w:rPr>
          <w:t>https://doi.org/10.4324/9781003105961</w:t>
        </w:r>
      </w:hyperlink>
      <w:r w:rsidRPr="00BC349D">
        <w:t>.</w:t>
      </w:r>
    </w:p>
    <w:p w14:paraId="78837FB8" w14:textId="77777777" w:rsidR="001A28F5" w:rsidRDefault="001A28F5" w:rsidP="001A28F5">
      <w:pPr>
        <w:ind w:left="567" w:hanging="567"/>
      </w:pPr>
      <w:r w:rsidRPr="00BC349D">
        <w:t xml:space="preserve">Laine, Eero. 2018. ‘Professional Wrestling Scholarship: Legitimacy and Kayfabe’. </w:t>
      </w:r>
      <w:r w:rsidRPr="00BC349D">
        <w:rPr>
          <w:i/>
          <w:iCs/>
        </w:rPr>
        <w:t>The Popular Culture Studies Journal</w:t>
      </w:r>
      <w:r w:rsidRPr="00BC349D">
        <w:t xml:space="preserve"> 6 (1): 82–99.</w:t>
      </w:r>
    </w:p>
    <w:p w14:paraId="67C7B897" w14:textId="2D8F7280" w:rsidR="001A28F5" w:rsidRPr="00BC349D" w:rsidRDefault="001A28F5" w:rsidP="001A28F5">
      <w:pPr>
        <w:ind w:left="567" w:hanging="567"/>
      </w:pPr>
      <w:r w:rsidRPr="00B63093">
        <w:t>L</w:t>
      </w:r>
      <w:r>
        <w:t>aws</w:t>
      </w:r>
      <w:r w:rsidRPr="00B63093">
        <w:t xml:space="preserve">, Robin D. 2002. </w:t>
      </w:r>
      <w:r w:rsidRPr="00B63093">
        <w:rPr>
          <w:i/>
          <w:iCs/>
        </w:rPr>
        <w:t>Robin’s Laws of Good Game Mastering</w:t>
      </w:r>
      <w:r w:rsidRPr="00B63093">
        <w:t>. First</w:t>
      </w:r>
      <w:r w:rsidR="00CB531C">
        <w:t xml:space="preserve"> Edition</w:t>
      </w:r>
      <w:r w:rsidRPr="00B63093">
        <w:t>. Edited by Steve Jackson. USA: Steve Jackson Games.</w:t>
      </w:r>
    </w:p>
    <w:p w14:paraId="740177B5" w14:textId="77777777" w:rsidR="001A28F5" w:rsidRPr="00BC349D" w:rsidRDefault="001A28F5" w:rsidP="001A28F5">
      <w:pPr>
        <w:ind w:left="567" w:hanging="567"/>
      </w:pPr>
      <w:r w:rsidRPr="00BC349D">
        <w:t xml:space="preserve">Oliva, Costantino, and Gordon Calleja. 2009. ‘Fake Rules, Real Fiction: Professional Wrestling and Videogames’. Paper presented at Proceedings of </w:t>
      </w:r>
      <w:proofErr w:type="spellStart"/>
      <w:r w:rsidRPr="00BC349D">
        <w:t>DiGRA</w:t>
      </w:r>
      <w:proofErr w:type="spellEnd"/>
      <w:r w:rsidRPr="00BC349D">
        <w:t xml:space="preserve"> 2009 Conference: Breaking New Ground: Innovation in Games, Play, Practice and Theory. January 1. </w:t>
      </w:r>
      <w:hyperlink r:id="rId8" w:history="1">
        <w:r w:rsidRPr="00BC349D">
          <w:rPr>
            <w:color w:val="0000FF"/>
            <w:u w:val="single"/>
          </w:rPr>
          <w:t>https://doi.org/10.26503/dl.v2009i1.382</w:t>
        </w:r>
      </w:hyperlink>
      <w:r w:rsidRPr="00BC349D">
        <w:t>.</w:t>
      </w:r>
    </w:p>
    <w:p w14:paraId="775A4872" w14:textId="77777777" w:rsidR="001A28F5" w:rsidRPr="00BC349D" w:rsidRDefault="001A28F5" w:rsidP="001A28F5">
      <w:pPr>
        <w:ind w:left="567" w:hanging="567"/>
      </w:pPr>
      <w:r w:rsidRPr="00BC349D">
        <w:t xml:space="preserve">Van De </w:t>
      </w:r>
      <w:proofErr w:type="spellStart"/>
      <w:r w:rsidRPr="00BC349D">
        <w:t>Mosselaer</w:t>
      </w:r>
      <w:proofErr w:type="spellEnd"/>
      <w:r w:rsidRPr="00BC349D">
        <w:t xml:space="preserve">, Nele. 2025. ‘Fake VS Fictional Games: On Dark and </w:t>
      </w:r>
      <w:proofErr w:type="spellStart"/>
      <w:r w:rsidRPr="00BC349D">
        <w:t>DeceptiveRepresentations</w:t>
      </w:r>
      <w:proofErr w:type="spellEnd"/>
      <w:r w:rsidRPr="00BC349D">
        <w:t xml:space="preserve"> of Non-Actual Games’. Paper presented at Abstract Proceedings of </w:t>
      </w:r>
      <w:proofErr w:type="spellStart"/>
      <w:r w:rsidRPr="00BC349D">
        <w:t>DiGRA</w:t>
      </w:r>
      <w:proofErr w:type="spellEnd"/>
      <w:r w:rsidRPr="00BC349D">
        <w:t xml:space="preserve"> 2025: Games at the Crossroads. June 16. </w:t>
      </w:r>
      <w:hyperlink r:id="rId9" w:history="1">
        <w:r w:rsidRPr="00BC349D">
          <w:rPr>
            <w:color w:val="0000FF"/>
            <w:u w:val="single"/>
          </w:rPr>
          <w:t>https://doi.org/10.26503/dl.v2025i3.2525</w:t>
        </w:r>
      </w:hyperlink>
      <w:r w:rsidRPr="00BC349D">
        <w:t>.</w:t>
      </w:r>
    </w:p>
    <w:p w14:paraId="52DFEDE4" w14:textId="77777777" w:rsidR="00DB7A49" w:rsidRDefault="00DB7A49"/>
    <w:sectPr w:rsidR="00DB7A4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09686" w14:textId="77777777" w:rsidR="001E581E" w:rsidRDefault="001E581E" w:rsidP="001A28F5">
      <w:r>
        <w:separator/>
      </w:r>
    </w:p>
  </w:endnote>
  <w:endnote w:type="continuationSeparator" w:id="0">
    <w:p w14:paraId="4BCCD8E3" w14:textId="77777777" w:rsidR="001E581E" w:rsidRDefault="001E581E" w:rsidP="001A2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06F31" w14:textId="731EDAB8" w:rsidR="001A28F5" w:rsidRDefault="001A28F5">
    <w:pPr>
      <w:pStyle w:val="Footer"/>
    </w:pPr>
    <w:r>
      <w:rPr>
        <w:noProof/>
        <w14:ligatures w14:val="standardContextual"/>
      </w:rPr>
      <mc:AlternateContent>
        <mc:Choice Requires="wps">
          <w:drawing>
            <wp:anchor distT="0" distB="0" distL="0" distR="0" simplePos="0" relativeHeight="251662336" behindDoc="0" locked="0" layoutInCell="1" allowOverlap="1" wp14:anchorId="01B9C889" wp14:editId="6F8D712C">
              <wp:simplePos x="635" y="635"/>
              <wp:positionH relativeFrom="page">
                <wp:align>center</wp:align>
              </wp:positionH>
              <wp:positionV relativeFrom="page">
                <wp:align>bottom</wp:align>
              </wp:positionV>
              <wp:extent cx="766445" cy="361315"/>
              <wp:effectExtent l="0" t="0" r="8255" b="0"/>
              <wp:wrapNone/>
              <wp:docPr id="1002450160" name="Text Box 5"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6445" cy="361315"/>
                      </a:xfrm>
                      <a:prstGeom prst="rect">
                        <a:avLst/>
                      </a:prstGeom>
                      <a:noFill/>
                      <a:ln>
                        <a:noFill/>
                      </a:ln>
                    </wps:spPr>
                    <wps:txbx>
                      <w:txbxContent>
                        <w:p w14:paraId="0A235237" w14:textId="0815C08E" w:rsidR="001A28F5" w:rsidRPr="001A28F5" w:rsidRDefault="001A28F5" w:rsidP="001A28F5">
                          <w:pPr>
                            <w:rPr>
                              <w:rFonts w:ascii="Aptos" w:eastAsia="Aptos" w:hAnsi="Aptos" w:cs="Aptos"/>
                              <w:noProof/>
                              <w:color w:val="FF8C00"/>
                              <w:sz w:val="22"/>
                              <w:szCs w:val="22"/>
                            </w:rPr>
                          </w:pPr>
                          <w:r w:rsidRPr="001A28F5">
                            <w:rPr>
                              <w:rFonts w:ascii="Aptos" w:eastAsia="Aptos" w:hAnsi="Aptos" w:cs="Aptos"/>
                              <w:noProof/>
                              <w:color w:val="FF8C00"/>
                              <w:sz w:val="22"/>
                              <w:szCs w:val="22"/>
                            </w:rPr>
                            <w:t>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B9C889" id="_x0000_t202" coordsize="21600,21600" o:spt="202" path="m,l,21600r21600,l21600,xe">
              <v:stroke joinstyle="miter"/>
              <v:path gradientshapeok="t" o:connecttype="rect"/>
            </v:shapetype>
            <v:shape id="Text Box 5" o:spid="_x0000_s1028" type="#_x0000_t202" alt="RESTRICTED" style="position:absolute;margin-left:0;margin-top:0;width:60.35pt;height:28.4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" filled="f" stroked="f">
              <v:fill o:detectmouseclick="t"/>
              <v:textbox style="mso-fit-shape-to-text:t" inset="0,0,0,15pt">
                <w:txbxContent>
                  <w:p w14:paraId="0A235237" w14:textId="0815C08E" w:rsidR="001A28F5" w:rsidRPr="001A28F5" w:rsidRDefault="001A28F5" w:rsidP="001A28F5">
                    <w:pPr>
                      <w:rPr>
                        <w:rFonts w:ascii="Aptos" w:eastAsia="Aptos" w:hAnsi="Aptos" w:cs="Aptos"/>
                        <w:noProof/>
                        <w:color w:val="FF8C00"/>
                        <w:sz w:val="22"/>
                        <w:szCs w:val="22"/>
                      </w:rPr>
                    </w:pPr>
                    <w:r w:rsidRPr="001A28F5">
                      <w:rPr>
                        <w:rFonts w:ascii="Aptos" w:eastAsia="Aptos" w:hAnsi="Aptos" w:cs="Aptos"/>
                        <w:noProof/>
                        <w:color w:val="FF8C00"/>
                        <w:sz w:val="22"/>
                        <w:szCs w:val="22"/>
                      </w:rPr>
                      <w:t>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F6BC" w14:textId="293A6B43" w:rsidR="001A28F5" w:rsidRDefault="001A28F5">
    <w:pPr>
      <w:pStyle w:val="Footer"/>
    </w:pPr>
    <w:r>
      <w:rPr>
        <w:noProof/>
        <w14:ligatures w14:val="standardContextual"/>
      </w:rPr>
      <mc:AlternateContent>
        <mc:Choice Requires="wps">
          <w:drawing>
            <wp:anchor distT="0" distB="0" distL="0" distR="0" simplePos="0" relativeHeight="251663360" behindDoc="0" locked="0" layoutInCell="1" allowOverlap="1" wp14:anchorId="4131A522" wp14:editId="3432973E">
              <wp:simplePos x="0" y="0"/>
              <wp:positionH relativeFrom="page">
                <wp:align>center</wp:align>
              </wp:positionH>
              <wp:positionV relativeFrom="page">
                <wp:align>bottom</wp:align>
              </wp:positionV>
              <wp:extent cx="766445" cy="361315"/>
              <wp:effectExtent l="0" t="0" r="8255" b="0"/>
              <wp:wrapNone/>
              <wp:docPr id="1392215090" name="Text Box 6"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6445" cy="361315"/>
                      </a:xfrm>
                      <a:prstGeom prst="rect">
                        <a:avLst/>
                      </a:prstGeom>
                      <a:noFill/>
                      <a:ln>
                        <a:noFill/>
                      </a:ln>
                    </wps:spPr>
                    <wps:txbx>
                      <w:txbxContent>
                        <w:p w14:paraId="59025A30" w14:textId="4A4ACE49" w:rsidR="001A28F5" w:rsidRPr="001A28F5" w:rsidRDefault="001A28F5" w:rsidP="001A28F5">
                          <w:pPr>
                            <w:rPr>
                              <w:rFonts w:ascii="Aptos" w:eastAsia="Aptos" w:hAnsi="Aptos" w:cs="Aptos"/>
                              <w:noProof/>
                              <w:color w:val="FF8C00"/>
                              <w:sz w:val="22"/>
                              <w:szCs w:val="22"/>
                            </w:rPr>
                          </w:pPr>
                          <w:r w:rsidRPr="001A28F5">
                            <w:rPr>
                              <w:rFonts w:ascii="Aptos" w:eastAsia="Aptos" w:hAnsi="Aptos" w:cs="Aptos"/>
                              <w:noProof/>
                              <w:color w:val="FF8C00"/>
                              <w:sz w:val="22"/>
                              <w:szCs w:val="22"/>
                            </w:rPr>
                            <w:t>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31A522" id="_x0000_t202" coordsize="21600,21600" o:spt="202" path="m,l,21600r21600,l21600,xe">
              <v:stroke joinstyle="miter"/>
              <v:path gradientshapeok="t" o:connecttype="rect"/>
            </v:shapetype>
            <v:shape id="Text Box 6" o:spid="_x0000_s1029" type="#_x0000_t202" alt="RESTRICTED" style="position:absolute;margin-left:0;margin-top:0;width:60.35pt;height:28.4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" filled="f" stroked="f">
              <v:fill o:detectmouseclick="t"/>
              <v:textbox style="mso-fit-shape-to-text:t" inset="0,0,0,15pt">
                <w:txbxContent>
                  <w:p w14:paraId="59025A30" w14:textId="4A4ACE49" w:rsidR="001A28F5" w:rsidRPr="001A28F5" w:rsidRDefault="001A28F5" w:rsidP="001A28F5">
                    <w:pPr>
                      <w:rPr>
                        <w:rFonts w:ascii="Aptos" w:eastAsia="Aptos" w:hAnsi="Aptos" w:cs="Aptos"/>
                        <w:noProof/>
                        <w:color w:val="FF8C00"/>
                        <w:sz w:val="22"/>
                        <w:szCs w:val="22"/>
                      </w:rPr>
                    </w:pPr>
                    <w:r w:rsidRPr="001A28F5">
                      <w:rPr>
                        <w:rFonts w:ascii="Aptos" w:eastAsia="Aptos" w:hAnsi="Aptos" w:cs="Aptos"/>
                        <w:noProof/>
                        <w:color w:val="FF8C00"/>
                        <w:sz w:val="22"/>
                        <w:szCs w:val="22"/>
                      </w:rPr>
                      <w:t>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3C01C" w14:textId="70528492" w:rsidR="001A28F5" w:rsidRDefault="001A28F5">
    <w:pPr>
      <w:pStyle w:val="Footer"/>
    </w:pPr>
    <w:r>
      <w:rPr>
        <w:noProof/>
        <w14:ligatures w14:val="standardContextual"/>
      </w:rPr>
      <mc:AlternateContent>
        <mc:Choice Requires="wps">
          <w:drawing>
            <wp:anchor distT="0" distB="0" distL="0" distR="0" simplePos="0" relativeHeight="251661312" behindDoc="0" locked="0" layoutInCell="1" allowOverlap="1" wp14:anchorId="28B4C476" wp14:editId="01975DBD">
              <wp:simplePos x="635" y="635"/>
              <wp:positionH relativeFrom="page">
                <wp:align>center</wp:align>
              </wp:positionH>
              <wp:positionV relativeFrom="page">
                <wp:align>bottom</wp:align>
              </wp:positionV>
              <wp:extent cx="766445" cy="361315"/>
              <wp:effectExtent l="0" t="0" r="8255" b="0"/>
              <wp:wrapNone/>
              <wp:docPr id="2007601716" name="Text Box 4"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6445" cy="361315"/>
                      </a:xfrm>
                      <a:prstGeom prst="rect">
                        <a:avLst/>
                      </a:prstGeom>
                      <a:noFill/>
                      <a:ln>
                        <a:noFill/>
                      </a:ln>
                    </wps:spPr>
                    <wps:txbx>
                      <w:txbxContent>
                        <w:p w14:paraId="1DE81249" w14:textId="6B1235DC" w:rsidR="001A28F5" w:rsidRPr="001A28F5" w:rsidRDefault="001A28F5" w:rsidP="001A28F5">
                          <w:pPr>
                            <w:rPr>
                              <w:rFonts w:ascii="Aptos" w:eastAsia="Aptos" w:hAnsi="Aptos" w:cs="Aptos"/>
                              <w:noProof/>
                              <w:color w:val="FF8C00"/>
                              <w:sz w:val="22"/>
                              <w:szCs w:val="22"/>
                            </w:rPr>
                          </w:pPr>
                          <w:r w:rsidRPr="001A28F5">
                            <w:rPr>
                              <w:rFonts w:ascii="Aptos" w:eastAsia="Aptos" w:hAnsi="Aptos" w:cs="Aptos"/>
                              <w:noProof/>
                              <w:color w:val="FF8C00"/>
                              <w:sz w:val="22"/>
                              <w:szCs w:val="22"/>
                            </w:rPr>
                            <w:t>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B4C476" id="_x0000_t202" coordsize="21600,21600" o:spt="202" path="m,l,21600r21600,l21600,xe">
              <v:stroke joinstyle="miter"/>
              <v:path gradientshapeok="t" o:connecttype="rect"/>
            </v:shapetype>
            <v:shape id="Text Box 4" o:spid="_x0000_s1031" type="#_x0000_t202" alt="RESTRICTED" style="position:absolute;margin-left:0;margin-top:0;width:60.35pt;height:28.4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" filled="f" stroked="f">
              <v:fill o:detectmouseclick="t"/>
              <v:textbox style="mso-fit-shape-to-text:t" inset="0,0,0,15pt">
                <w:txbxContent>
                  <w:p w14:paraId="1DE81249" w14:textId="6B1235DC" w:rsidR="001A28F5" w:rsidRPr="001A28F5" w:rsidRDefault="001A28F5" w:rsidP="001A28F5">
                    <w:pPr>
                      <w:rPr>
                        <w:rFonts w:ascii="Aptos" w:eastAsia="Aptos" w:hAnsi="Aptos" w:cs="Aptos"/>
                        <w:noProof/>
                        <w:color w:val="FF8C00"/>
                        <w:sz w:val="22"/>
                        <w:szCs w:val="22"/>
                      </w:rPr>
                    </w:pPr>
                    <w:r w:rsidRPr="001A28F5">
                      <w:rPr>
                        <w:rFonts w:ascii="Aptos" w:eastAsia="Aptos" w:hAnsi="Aptos" w:cs="Aptos"/>
                        <w:noProof/>
                        <w:color w:val="FF8C00"/>
                        <w:sz w:val="22"/>
                        <w:szCs w:val="22"/>
                      </w:rPr>
                      <w:t>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3F85B" w14:textId="77777777" w:rsidR="001E581E" w:rsidRDefault="001E581E" w:rsidP="001A28F5">
      <w:r>
        <w:separator/>
      </w:r>
    </w:p>
  </w:footnote>
  <w:footnote w:type="continuationSeparator" w:id="0">
    <w:p w14:paraId="16BE8BAD" w14:textId="77777777" w:rsidR="001E581E" w:rsidRDefault="001E581E" w:rsidP="001A28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4CAC" w14:textId="5CF0688F" w:rsidR="001A28F5" w:rsidRDefault="001A28F5">
    <w:pPr>
      <w:pStyle w:val="Header"/>
    </w:pPr>
    <w:r>
      <w:rPr>
        <w:noProof/>
        <w14:ligatures w14:val="standardContextual"/>
      </w:rPr>
      <mc:AlternateContent>
        <mc:Choice Requires="wps">
          <w:drawing>
            <wp:anchor distT="0" distB="0" distL="0" distR="0" simplePos="0" relativeHeight="251659264" behindDoc="0" locked="0" layoutInCell="1" allowOverlap="1" wp14:anchorId="0DE80D18" wp14:editId="5132AB43">
              <wp:simplePos x="635" y="635"/>
              <wp:positionH relativeFrom="page">
                <wp:align>center</wp:align>
              </wp:positionH>
              <wp:positionV relativeFrom="page">
                <wp:align>top</wp:align>
              </wp:positionV>
              <wp:extent cx="766445" cy="361315"/>
              <wp:effectExtent l="0" t="0" r="8255" b="6985"/>
              <wp:wrapNone/>
              <wp:docPr id="1721118780" name="Text Box 2"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6445" cy="361315"/>
                      </a:xfrm>
                      <a:prstGeom prst="rect">
                        <a:avLst/>
                      </a:prstGeom>
                      <a:noFill/>
                      <a:ln>
                        <a:noFill/>
                      </a:ln>
                    </wps:spPr>
                    <wps:txbx>
                      <w:txbxContent>
                        <w:p w14:paraId="6CCE133E" w14:textId="38C52F54" w:rsidR="001A28F5" w:rsidRPr="001A28F5" w:rsidRDefault="001A28F5" w:rsidP="001A28F5">
                          <w:pPr>
                            <w:rPr>
                              <w:rFonts w:ascii="Aptos" w:eastAsia="Aptos" w:hAnsi="Aptos" w:cs="Aptos"/>
                              <w:noProof/>
                              <w:color w:val="FF8C00"/>
                              <w:sz w:val="22"/>
                              <w:szCs w:val="22"/>
                            </w:rPr>
                          </w:pPr>
                          <w:r w:rsidRPr="001A28F5">
                            <w:rPr>
                              <w:rFonts w:ascii="Aptos" w:eastAsia="Aptos" w:hAnsi="Aptos" w:cs="Aptos"/>
                              <w:noProof/>
                              <w:color w:val="FF8C00"/>
                              <w:sz w:val="22"/>
                              <w:szCs w:val="22"/>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E80D18" id="_x0000_t202" coordsize="21600,21600" o:spt="202" path="m,l,21600r21600,l21600,xe">
              <v:stroke joinstyle="miter"/>
              <v:path gradientshapeok="t" o:connecttype="rect"/>
            </v:shapetype>
            <v:shape id="Text Box 2" o:spid="_x0000_s1026" type="#_x0000_t202" alt="RESTRICTED" style="position:absolute;margin-left:0;margin-top:0;width:60.35pt;height:28.4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" filled="f" stroked="f">
              <v:fill o:detectmouseclick="t"/>
              <v:textbox style="mso-fit-shape-to-text:t" inset="0,15pt,0,0">
                <w:txbxContent>
                  <w:p w14:paraId="6CCE133E" w14:textId="38C52F54" w:rsidR="001A28F5" w:rsidRPr="001A28F5" w:rsidRDefault="001A28F5" w:rsidP="001A28F5">
                    <w:pPr>
                      <w:rPr>
                        <w:rFonts w:ascii="Aptos" w:eastAsia="Aptos" w:hAnsi="Aptos" w:cs="Aptos"/>
                        <w:noProof/>
                        <w:color w:val="FF8C00"/>
                        <w:sz w:val="22"/>
                        <w:szCs w:val="22"/>
                      </w:rPr>
                    </w:pPr>
                    <w:r w:rsidRPr="001A28F5">
                      <w:rPr>
                        <w:rFonts w:ascii="Aptos" w:eastAsia="Aptos" w:hAnsi="Aptos" w:cs="Aptos"/>
                        <w:noProof/>
                        <w:color w:val="FF8C00"/>
                        <w:sz w:val="22"/>
                        <w:szCs w:val="22"/>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F0467" w14:textId="19C1C52A" w:rsidR="001A28F5" w:rsidRDefault="001A28F5">
    <w:pPr>
      <w:pStyle w:val="Header"/>
    </w:pPr>
    <w:r>
      <w:rPr>
        <w:noProof/>
        <w14:ligatures w14:val="standardContextual"/>
      </w:rPr>
      <mc:AlternateContent>
        <mc:Choice Requires="wps">
          <w:drawing>
            <wp:anchor distT="0" distB="0" distL="0" distR="0" simplePos="0" relativeHeight="251660288" behindDoc="0" locked="0" layoutInCell="1" allowOverlap="1" wp14:anchorId="39B5A5FD" wp14:editId="1C5DCD24">
              <wp:simplePos x="0" y="0"/>
              <wp:positionH relativeFrom="page">
                <wp:align>center</wp:align>
              </wp:positionH>
              <wp:positionV relativeFrom="page">
                <wp:align>top</wp:align>
              </wp:positionV>
              <wp:extent cx="766445" cy="361315"/>
              <wp:effectExtent l="0" t="0" r="8255" b="6985"/>
              <wp:wrapNone/>
              <wp:docPr id="50839876" name="Text Box 3"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6445" cy="361315"/>
                      </a:xfrm>
                      <a:prstGeom prst="rect">
                        <a:avLst/>
                      </a:prstGeom>
                      <a:noFill/>
                      <a:ln>
                        <a:noFill/>
                      </a:ln>
                    </wps:spPr>
                    <wps:txbx>
                      <w:txbxContent>
                        <w:p w14:paraId="6A80F67E" w14:textId="707D27C5" w:rsidR="001A28F5" w:rsidRPr="001A28F5" w:rsidRDefault="001A28F5" w:rsidP="001A28F5">
                          <w:pPr>
                            <w:rPr>
                              <w:rFonts w:ascii="Aptos" w:eastAsia="Aptos" w:hAnsi="Aptos" w:cs="Aptos"/>
                              <w:noProof/>
                              <w:color w:val="FF8C00"/>
                              <w:sz w:val="22"/>
                              <w:szCs w:val="22"/>
                            </w:rPr>
                          </w:pPr>
                          <w:r w:rsidRPr="001A28F5">
                            <w:rPr>
                              <w:rFonts w:ascii="Aptos" w:eastAsia="Aptos" w:hAnsi="Aptos" w:cs="Aptos"/>
                              <w:noProof/>
                              <w:color w:val="FF8C00"/>
                              <w:sz w:val="22"/>
                              <w:szCs w:val="22"/>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B5A5FD" id="_x0000_t202" coordsize="21600,21600" o:spt="202" path="m,l,21600r21600,l21600,xe">
              <v:stroke joinstyle="miter"/>
              <v:path gradientshapeok="t" o:connecttype="rect"/>
            </v:shapetype>
            <v:shape id="Text Box 3" o:spid="_x0000_s1027" type="#_x0000_t202" alt="RESTRICTED" style="position:absolute;margin-left:0;margin-top:0;width:60.35pt;height:28.4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" filled="f" stroked="f">
              <v:fill o:detectmouseclick="t"/>
              <v:textbox style="mso-fit-shape-to-text:t" inset="0,15pt,0,0">
                <w:txbxContent>
                  <w:p w14:paraId="6A80F67E" w14:textId="707D27C5" w:rsidR="001A28F5" w:rsidRPr="001A28F5" w:rsidRDefault="001A28F5" w:rsidP="001A28F5">
                    <w:pPr>
                      <w:rPr>
                        <w:rFonts w:ascii="Aptos" w:eastAsia="Aptos" w:hAnsi="Aptos" w:cs="Aptos"/>
                        <w:noProof/>
                        <w:color w:val="FF8C00"/>
                        <w:sz w:val="22"/>
                        <w:szCs w:val="22"/>
                      </w:rPr>
                    </w:pPr>
                    <w:r w:rsidRPr="001A28F5">
                      <w:rPr>
                        <w:rFonts w:ascii="Aptos" w:eastAsia="Aptos" w:hAnsi="Aptos" w:cs="Aptos"/>
                        <w:noProof/>
                        <w:color w:val="FF8C00"/>
                        <w:sz w:val="22"/>
                        <w:szCs w:val="22"/>
                      </w:rPr>
                      <w:t>RESTRICTED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42D1B" w14:textId="6453660A" w:rsidR="001A28F5" w:rsidRDefault="001A28F5">
    <w:pPr>
      <w:pStyle w:val="Header"/>
    </w:pPr>
    <w:r>
      <w:rPr>
        <w:noProof/>
        <w14:ligatures w14:val="standardContextual"/>
      </w:rPr>
      <mc:AlternateContent>
        <mc:Choice Requires="wps">
          <w:drawing>
            <wp:anchor distT="0" distB="0" distL="0" distR="0" simplePos="0" relativeHeight="251658240" behindDoc="0" locked="0" layoutInCell="1" allowOverlap="1" wp14:anchorId="6E7E73C2" wp14:editId="39BCEBAD">
              <wp:simplePos x="635" y="635"/>
              <wp:positionH relativeFrom="page">
                <wp:align>center</wp:align>
              </wp:positionH>
              <wp:positionV relativeFrom="page">
                <wp:align>top</wp:align>
              </wp:positionV>
              <wp:extent cx="766445" cy="361315"/>
              <wp:effectExtent l="0" t="0" r="8255" b="6985"/>
              <wp:wrapNone/>
              <wp:docPr id="542732358" name="Text Box 1"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6445" cy="361315"/>
                      </a:xfrm>
                      <a:prstGeom prst="rect">
                        <a:avLst/>
                      </a:prstGeom>
                      <a:noFill/>
                      <a:ln>
                        <a:noFill/>
                      </a:ln>
                    </wps:spPr>
                    <wps:txbx>
                      <w:txbxContent>
                        <w:p w14:paraId="511A2A37" w14:textId="73D26FFF" w:rsidR="001A28F5" w:rsidRPr="001A28F5" w:rsidRDefault="001A28F5" w:rsidP="001A28F5">
                          <w:pPr>
                            <w:rPr>
                              <w:rFonts w:ascii="Aptos" w:eastAsia="Aptos" w:hAnsi="Aptos" w:cs="Aptos"/>
                              <w:noProof/>
                              <w:color w:val="FF8C00"/>
                              <w:sz w:val="22"/>
                              <w:szCs w:val="22"/>
                            </w:rPr>
                          </w:pPr>
                          <w:r w:rsidRPr="001A28F5">
                            <w:rPr>
                              <w:rFonts w:ascii="Aptos" w:eastAsia="Aptos" w:hAnsi="Aptos" w:cs="Aptos"/>
                              <w:noProof/>
                              <w:color w:val="FF8C00"/>
                              <w:sz w:val="22"/>
                              <w:szCs w:val="22"/>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7E73C2" id="_x0000_t202" coordsize="21600,21600" o:spt="202" path="m,l,21600r21600,l21600,xe">
              <v:stroke joinstyle="miter"/>
              <v:path gradientshapeok="t" o:connecttype="rect"/>
            </v:shapetype>
            <v:shape id="Text Box 1" o:spid="_x0000_s1030" type="#_x0000_t202" alt="RESTRICTED" style="position:absolute;margin-left:0;margin-top:0;width:60.35pt;height:28.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" filled="f" stroked="f">
              <v:fill o:detectmouseclick="t"/>
              <v:textbox style="mso-fit-shape-to-text:t" inset="0,15pt,0,0">
                <w:txbxContent>
                  <w:p w14:paraId="511A2A37" w14:textId="73D26FFF" w:rsidR="001A28F5" w:rsidRPr="001A28F5" w:rsidRDefault="001A28F5" w:rsidP="001A28F5">
                    <w:pPr>
                      <w:rPr>
                        <w:rFonts w:ascii="Aptos" w:eastAsia="Aptos" w:hAnsi="Aptos" w:cs="Aptos"/>
                        <w:noProof/>
                        <w:color w:val="FF8C00"/>
                        <w:sz w:val="22"/>
                        <w:szCs w:val="22"/>
                      </w:rPr>
                    </w:pPr>
                    <w:r w:rsidRPr="001A28F5">
                      <w:rPr>
                        <w:rFonts w:ascii="Aptos" w:eastAsia="Aptos" w:hAnsi="Aptos" w:cs="Aptos"/>
                        <w:noProof/>
                        <w:color w:val="FF8C00"/>
                        <w:sz w:val="22"/>
                        <w:szCs w:val="22"/>
                      </w:rPr>
                      <w:t>RESTRICTED</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8F5"/>
    <w:rsid w:val="00106288"/>
    <w:rsid w:val="00123BF6"/>
    <w:rsid w:val="001A28F5"/>
    <w:rsid w:val="001E581E"/>
    <w:rsid w:val="0038594F"/>
    <w:rsid w:val="003A1150"/>
    <w:rsid w:val="003F50B4"/>
    <w:rsid w:val="004148C4"/>
    <w:rsid w:val="004807D4"/>
    <w:rsid w:val="0058415C"/>
    <w:rsid w:val="005E6454"/>
    <w:rsid w:val="0091091A"/>
    <w:rsid w:val="009B17CF"/>
    <w:rsid w:val="00A11CE4"/>
    <w:rsid w:val="00BF5C35"/>
    <w:rsid w:val="00CB531C"/>
    <w:rsid w:val="00DB7A49"/>
    <w:rsid w:val="00E81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AE44A39"/>
  <w15:chartTrackingRefBased/>
  <w15:docId w15:val="{3BC2ECF9-0E73-8640-B6C8-349698A17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8F5"/>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A28F5"/>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A28F5"/>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A28F5"/>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A28F5"/>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A28F5"/>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A28F5"/>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A28F5"/>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A28F5"/>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A28F5"/>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8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8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8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8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8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8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8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8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8F5"/>
    <w:rPr>
      <w:rFonts w:eastAsiaTheme="majorEastAsia" w:cstheme="majorBidi"/>
      <w:color w:val="272727" w:themeColor="text1" w:themeTint="D8"/>
    </w:rPr>
  </w:style>
  <w:style w:type="paragraph" w:styleId="Title">
    <w:name w:val="Title"/>
    <w:basedOn w:val="Normal"/>
    <w:next w:val="Normal"/>
    <w:link w:val="TitleChar"/>
    <w:uiPriority w:val="10"/>
    <w:qFormat/>
    <w:rsid w:val="001A28F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A28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8F5"/>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A28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8F5"/>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A28F5"/>
    <w:rPr>
      <w:i/>
      <w:iCs/>
      <w:color w:val="404040" w:themeColor="text1" w:themeTint="BF"/>
    </w:rPr>
  </w:style>
  <w:style w:type="paragraph" w:styleId="ListParagraph">
    <w:name w:val="List Paragraph"/>
    <w:basedOn w:val="Normal"/>
    <w:uiPriority w:val="34"/>
    <w:qFormat/>
    <w:rsid w:val="001A28F5"/>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1A28F5"/>
    <w:rPr>
      <w:i/>
      <w:iCs/>
      <w:color w:val="0F4761" w:themeColor="accent1" w:themeShade="BF"/>
    </w:rPr>
  </w:style>
  <w:style w:type="paragraph" w:styleId="IntenseQuote">
    <w:name w:val="Intense Quote"/>
    <w:basedOn w:val="Normal"/>
    <w:next w:val="Normal"/>
    <w:link w:val="IntenseQuoteChar"/>
    <w:uiPriority w:val="30"/>
    <w:qFormat/>
    <w:rsid w:val="001A28F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A28F5"/>
    <w:rPr>
      <w:i/>
      <w:iCs/>
      <w:color w:val="0F4761" w:themeColor="accent1" w:themeShade="BF"/>
    </w:rPr>
  </w:style>
  <w:style w:type="character" w:styleId="IntenseReference">
    <w:name w:val="Intense Reference"/>
    <w:basedOn w:val="DefaultParagraphFont"/>
    <w:uiPriority w:val="32"/>
    <w:qFormat/>
    <w:rsid w:val="001A28F5"/>
    <w:rPr>
      <w:b/>
      <w:bCs/>
      <w:smallCaps/>
      <w:color w:val="0F4761" w:themeColor="accent1" w:themeShade="BF"/>
      <w:spacing w:val="5"/>
    </w:rPr>
  </w:style>
  <w:style w:type="paragraph" w:styleId="Header">
    <w:name w:val="header"/>
    <w:basedOn w:val="Normal"/>
    <w:link w:val="HeaderChar"/>
    <w:uiPriority w:val="99"/>
    <w:unhideWhenUsed/>
    <w:rsid w:val="001A28F5"/>
    <w:pPr>
      <w:tabs>
        <w:tab w:val="center" w:pos="4513"/>
        <w:tab w:val="right" w:pos="9026"/>
      </w:tabs>
    </w:pPr>
  </w:style>
  <w:style w:type="character" w:customStyle="1" w:styleId="HeaderChar">
    <w:name w:val="Header Char"/>
    <w:basedOn w:val="DefaultParagraphFont"/>
    <w:link w:val="Header"/>
    <w:uiPriority w:val="99"/>
    <w:rsid w:val="001A28F5"/>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1A28F5"/>
    <w:pPr>
      <w:tabs>
        <w:tab w:val="center" w:pos="4513"/>
        <w:tab w:val="right" w:pos="9026"/>
      </w:tabs>
    </w:pPr>
  </w:style>
  <w:style w:type="character" w:customStyle="1" w:styleId="FooterChar">
    <w:name w:val="Footer Char"/>
    <w:basedOn w:val="DefaultParagraphFont"/>
    <w:link w:val="Footer"/>
    <w:uiPriority w:val="99"/>
    <w:rsid w:val="001A28F5"/>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6503/dl.v2009i1.382"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doi.org/10.4324/9781003105961"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i.org/10.5040/9781350277113"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26503/dl.v2025i3.2525"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760</Words>
  <Characters>4468</Characters>
  <Application>Microsoft Office Word</Application>
  <DocSecurity>0</DocSecurity>
  <Lines>79</Lines>
  <Paragraphs>23</Paragraphs>
  <ScaleCrop>false</ScaleCrop>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Pellicone</dc:creator>
  <cp:keywords/>
  <dc:description/>
  <cp:lastModifiedBy>Tony Pellicone</cp:lastModifiedBy>
  <cp:revision>8</cp:revision>
  <dcterms:created xsi:type="dcterms:W3CDTF">2026-02-24T15:32:00Z</dcterms:created>
  <dcterms:modified xsi:type="dcterms:W3CDTF">2026-06-02T12:29:00Z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20597046,6696303c,307c144</vt:lpwstr>
  </property>
  <property fmtid="{D5CDD505-2E9C-101B-9397-08002B2CF9AE}" pid="3" name="ClassificationContentMarkingHeaderFontProps">
    <vt:lpwstr>#ff8c00,11,Aptos</vt:lpwstr>
  </property>
  <property fmtid="{D5CDD505-2E9C-101B-9397-08002B2CF9AE}" pid="4" name="ClassificationContentMarkingHeaderText">
    <vt:lpwstr>RESTRICTED</vt:lpwstr>
  </property>
  <property fmtid="{D5CDD505-2E9C-101B-9397-08002B2CF9AE}" pid="5" name="ClassificationContentMarkingFooterShapeIds">
    <vt:lpwstr>77a99234,3bc02cf0,52fb8432</vt:lpwstr>
  </property>
  <property fmtid="{D5CDD505-2E9C-101B-9397-08002B2CF9AE}" pid="6" name="ClassificationContentMarkingFooterFontProps">
    <vt:lpwstr>#ff8c00,11,Aptos</vt:lpwstr>
  </property>
  <property fmtid="{D5CDD505-2E9C-101B-9397-08002B2CF9AE}" pid="7" name="ClassificationContentMarkingFooterText">
    <vt:lpwstr>RESTRICTED</vt:lpwstr>
  </property>
  <property fmtid="{D5CDD505-2E9C-101B-9397-08002B2CF9AE}" pid="8" name="MSIP_Label_57c33bae-76e0-44b3-baa3-351f99b93dbd_Enabled">
    <vt:lpwstr>true</vt:lpwstr>
  </property>
  <property fmtid="{D5CDD505-2E9C-101B-9397-08002B2CF9AE}" pid="9" name="MSIP_Label_57c33bae-76e0-44b3-baa3-351f99b93dbd_SetDate">
    <vt:lpwstr>2026-02-24T15:24:37Z</vt:lpwstr>
  </property>
  <property fmtid="{D5CDD505-2E9C-101B-9397-08002B2CF9AE}" pid="10" name="MSIP_Label_57c33bae-76e0-44b3-baa3-351f99b93dbd_Method">
    <vt:lpwstr>Standard</vt:lpwstr>
  </property>
  <property fmtid="{D5CDD505-2E9C-101B-9397-08002B2CF9AE}" pid="11" name="MSIP_Label_57c33bae-76e0-44b3-baa3-351f99b93dbd_Name">
    <vt:lpwstr>Restricted</vt:lpwstr>
  </property>
  <property fmtid="{D5CDD505-2E9C-101B-9397-08002B2CF9AE}" pid="12" name="MSIP_Label_57c33bae-76e0-44b3-baa3-351f99b93dbd_SiteId">
    <vt:lpwstr>550beeb3-6a3d-4646-a111-f89d0177792e</vt:lpwstr>
  </property>
  <property fmtid="{D5CDD505-2E9C-101B-9397-08002B2CF9AE}" pid="13" name="MSIP_Label_57c33bae-76e0-44b3-baa3-351f99b93dbd_ActionId">
    <vt:lpwstr>f38b9564-3655-4f58-a701-045f9b79ceec</vt:lpwstr>
  </property>
  <property fmtid="{D5CDD505-2E9C-101B-9397-08002B2CF9AE}" pid="14" name="MSIP_Label_57c33bae-76e0-44b3-baa3-351f99b93dbd_ContentBits">
    <vt:lpwstr>3</vt:lpwstr>
  </property>
  <property fmtid="{D5CDD505-2E9C-101B-9397-08002B2CF9AE}" pid="15" name="MSIP_Label_57c33bae-76e0-44b3-baa3-351f99b93dbd_Tag">
    <vt:lpwstr>50, 3, 0, 1</vt:lpwstr>
  </property>
</Properties>
</file>